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E94" w:rsidRDefault="00AE1E94" w:rsidP="00AE1E94">
      <w:pPr>
        <w:jc w:val="center"/>
        <w:rPr>
          <w:rFonts w:ascii="Arial" w:hAnsi="Arial" w:cs="Arial"/>
          <w:b/>
        </w:rPr>
      </w:pPr>
    </w:p>
    <w:p w:rsidR="00AE1E94" w:rsidRDefault="00AE1E94" w:rsidP="00AE1E94">
      <w:pPr>
        <w:jc w:val="center"/>
        <w:rPr>
          <w:rFonts w:ascii="Arial" w:hAnsi="Arial" w:cs="Arial"/>
          <w:b/>
        </w:rPr>
      </w:pPr>
      <w:r w:rsidRPr="00810FF9">
        <w:rPr>
          <w:rFonts w:ascii="Arial" w:hAnsi="Arial" w:cs="Arial"/>
          <w:b/>
        </w:rPr>
        <w:t xml:space="preserve">Obrazloženje </w:t>
      </w:r>
      <w:r>
        <w:rPr>
          <w:rFonts w:ascii="Arial" w:hAnsi="Arial" w:cs="Arial"/>
          <w:b/>
        </w:rPr>
        <w:t xml:space="preserve">usklađenog prijedloga </w:t>
      </w:r>
      <w:r w:rsidRPr="00810FF9">
        <w:rPr>
          <w:rFonts w:ascii="Arial" w:hAnsi="Arial" w:cs="Arial"/>
          <w:b/>
        </w:rPr>
        <w:t>fina</w:t>
      </w:r>
      <w:r>
        <w:rPr>
          <w:rFonts w:ascii="Arial" w:hAnsi="Arial" w:cs="Arial"/>
          <w:b/>
        </w:rPr>
        <w:t xml:space="preserve">ncijskog plana </w:t>
      </w:r>
    </w:p>
    <w:p w:rsidR="00AE1E94" w:rsidRPr="00810FF9" w:rsidRDefault="00AE1E94" w:rsidP="00AE1E9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za</w:t>
      </w:r>
      <w:proofErr w:type="gramEnd"/>
      <w:r>
        <w:rPr>
          <w:rFonts w:ascii="Arial" w:hAnsi="Arial" w:cs="Arial"/>
          <w:b/>
        </w:rPr>
        <w:t xml:space="preserve"> razdoblje 2022</w:t>
      </w:r>
      <w:r w:rsidRPr="00810FF9">
        <w:rPr>
          <w:rFonts w:ascii="Arial" w:hAnsi="Arial" w:cs="Arial"/>
          <w:b/>
        </w:rPr>
        <w:t>. – 20</w:t>
      </w:r>
      <w:r>
        <w:rPr>
          <w:rFonts w:ascii="Arial" w:hAnsi="Arial" w:cs="Arial"/>
          <w:b/>
        </w:rPr>
        <w:t>24</w:t>
      </w:r>
      <w:r w:rsidRPr="00810FF9">
        <w:rPr>
          <w:rFonts w:ascii="Arial" w:hAnsi="Arial" w:cs="Arial"/>
        </w:rPr>
        <w:t xml:space="preserve">. </w:t>
      </w:r>
      <w:proofErr w:type="gramStart"/>
      <w:r w:rsidRPr="00810FF9">
        <w:rPr>
          <w:rFonts w:ascii="Arial" w:hAnsi="Arial" w:cs="Arial"/>
          <w:b/>
        </w:rPr>
        <w:t>god</w:t>
      </w:r>
      <w:proofErr w:type="gramEnd"/>
      <w:r w:rsidRPr="00810FF9">
        <w:rPr>
          <w:rFonts w:ascii="Arial" w:hAnsi="Arial" w:cs="Arial"/>
          <w:b/>
        </w:rPr>
        <w:t>.</w:t>
      </w:r>
    </w:p>
    <w:p w:rsidR="00AE1E94" w:rsidRPr="009F21E6" w:rsidRDefault="00AE1E94" w:rsidP="00AE1E94">
      <w:pPr>
        <w:jc w:val="both"/>
        <w:rPr>
          <w:rFonts w:ascii="Arial" w:hAnsi="Arial" w:cs="Arial"/>
          <w:sz w:val="20"/>
          <w:szCs w:val="20"/>
        </w:rPr>
      </w:pPr>
    </w:p>
    <w:p w:rsidR="00AE1E94" w:rsidRPr="009F21E6" w:rsidRDefault="00AE1E94" w:rsidP="00AE1E9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1.1. </w:t>
      </w:r>
      <w:r w:rsidRPr="009F21E6">
        <w:rPr>
          <w:rFonts w:ascii="Arial" w:hAnsi="Arial" w:cs="Arial"/>
          <w:b/>
          <w:sz w:val="20"/>
          <w:szCs w:val="20"/>
        </w:rPr>
        <w:t xml:space="preserve">Uvod – sažetak djelokruga rada </w:t>
      </w:r>
      <w:r>
        <w:rPr>
          <w:rFonts w:ascii="Arial" w:hAnsi="Arial" w:cs="Arial"/>
          <w:b/>
          <w:sz w:val="20"/>
          <w:szCs w:val="20"/>
        </w:rPr>
        <w:t>proračunskog korisnika</w:t>
      </w:r>
      <w:bookmarkStart w:id="0" w:name="_GoBack"/>
      <w:bookmarkEnd w:id="0"/>
    </w:p>
    <w:p w:rsidR="00AE1E94" w:rsidRPr="009F21E6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 xml:space="preserve">Tehnički fakultet Sveučilišta u Rijeci, osnovan 08.11.1960. </w:t>
      </w:r>
      <w:proofErr w:type="gramStart"/>
      <w:r w:rsidRPr="009F21E6">
        <w:rPr>
          <w:rFonts w:ascii="Arial" w:hAnsi="Arial" w:cs="Arial"/>
          <w:sz w:val="20"/>
          <w:szCs w:val="20"/>
        </w:rPr>
        <w:t>godine</w:t>
      </w:r>
      <w:proofErr w:type="gramEnd"/>
      <w:r w:rsidRPr="009F21E6">
        <w:rPr>
          <w:rFonts w:ascii="Arial" w:hAnsi="Arial" w:cs="Arial"/>
          <w:sz w:val="20"/>
          <w:szCs w:val="20"/>
        </w:rPr>
        <w:t>, je visokoškolska i znanstveno-istraživačka institucija na području tehničkih znanosti ne samo na Sveučilištu u Rijeci, nego i u regiji u kojoj djeluje</w:t>
      </w:r>
      <w:r>
        <w:rPr>
          <w:rFonts w:ascii="Arial" w:hAnsi="Arial" w:cs="Arial"/>
          <w:sz w:val="20"/>
          <w:szCs w:val="20"/>
        </w:rPr>
        <w:t>, konkurentna na europskom i svjetskom tržištu znanja</w:t>
      </w:r>
      <w:r w:rsidRPr="009F21E6">
        <w:rPr>
          <w:rFonts w:ascii="Arial" w:hAnsi="Arial" w:cs="Arial"/>
          <w:sz w:val="20"/>
          <w:szCs w:val="20"/>
        </w:rPr>
        <w:t>.</w:t>
      </w:r>
    </w:p>
    <w:p w:rsidR="00AE1E94" w:rsidRPr="009F21E6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 xml:space="preserve">Fakultet objedinjuje </w:t>
      </w:r>
      <w:proofErr w:type="gramStart"/>
      <w:r w:rsidRPr="009F21E6">
        <w:rPr>
          <w:rFonts w:ascii="Arial" w:hAnsi="Arial" w:cs="Arial"/>
          <w:sz w:val="20"/>
          <w:szCs w:val="20"/>
        </w:rPr>
        <w:t>danas</w:t>
      </w:r>
      <w:proofErr w:type="gramEnd"/>
      <w:r w:rsidRPr="009F21E6">
        <w:rPr>
          <w:rFonts w:ascii="Arial" w:hAnsi="Arial" w:cs="Arial"/>
          <w:sz w:val="20"/>
          <w:szCs w:val="20"/>
        </w:rPr>
        <w:t xml:space="preserve"> djelatnost 11 zavoda i to: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automatiku i elektroniku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brodogradnju i inženjerstvo morske tehnologije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elektroenergetiku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</w:t>
      </w:r>
      <w:r w:rsidR="000E66EF">
        <w:rPr>
          <w:rFonts w:ascii="Arial" w:hAnsi="Arial" w:cs="Arial"/>
          <w:sz w:val="20"/>
          <w:szCs w:val="20"/>
        </w:rPr>
        <w:t>a industrijsko inženjerstvo i menadž</w:t>
      </w:r>
      <w:r w:rsidRPr="009F21E6">
        <w:rPr>
          <w:rFonts w:ascii="Arial" w:hAnsi="Arial" w:cs="Arial"/>
          <w:sz w:val="20"/>
          <w:szCs w:val="20"/>
        </w:rPr>
        <w:t>ment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konstruiranje u strojarstvu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matema</w:t>
      </w:r>
      <w:r w:rsidR="000E66EF">
        <w:rPr>
          <w:rFonts w:ascii="Arial" w:hAnsi="Arial" w:cs="Arial"/>
          <w:sz w:val="20"/>
          <w:szCs w:val="20"/>
        </w:rPr>
        <w:t>tiku, fiziku i</w:t>
      </w:r>
      <w:r w:rsidRPr="009F21E6">
        <w:rPr>
          <w:rFonts w:ascii="Arial" w:hAnsi="Arial" w:cs="Arial"/>
          <w:sz w:val="20"/>
          <w:szCs w:val="20"/>
        </w:rPr>
        <w:t xml:space="preserve"> strane jezike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materijale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mehaniku fluida i računarsko inženjerstvo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računarstvo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tehničku mehaniku</w:t>
      </w:r>
    </w:p>
    <w:p w:rsidR="00AE1E94" w:rsidRPr="009F21E6" w:rsidRDefault="00AE1E94" w:rsidP="00AE1E94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Zavod za termodinamiku i energetiku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AE1E94" w:rsidRPr="009F21E6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>U sklopu zavoda djeluje 3</w:t>
      </w:r>
      <w:r>
        <w:rPr>
          <w:rFonts w:ascii="Arial" w:hAnsi="Arial" w:cs="Arial"/>
          <w:sz w:val="20"/>
          <w:szCs w:val="20"/>
        </w:rPr>
        <w:t>6</w:t>
      </w:r>
      <w:r w:rsidRPr="009F21E6">
        <w:rPr>
          <w:rFonts w:ascii="Arial" w:hAnsi="Arial" w:cs="Arial"/>
          <w:sz w:val="20"/>
          <w:szCs w:val="20"/>
        </w:rPr>
        <w:t xml:space="preserve"> katedri i 50 laboratorija, a </w:t>
      </w:r>
      <w:proofErr w:type="gramStart"/>
      <w:r w:rsidRPr="009F21E6">
        <w:rPr>
          <w:rFonts w:ascii="Arial" w:hAnsi="Arial" w:cs="Arial"/>
          <w:sz w:val="20"/>
          <w:szCs w:val="20"/>
        </w:rPr>
        <w:t>na</w:t>
      </w:r>
      <w:proofErr w:type="gramEnd"/>
      <w:r w:rsidRPr="009F21E6">
        <w:rPr>
          <w:rFonts w:ascii="Arial" w:hAnsi="Arial" w:cs="Arial"/>
          <w:sz w:val="20"/>
          <w:szCs w:val="20"/>
        </w:rPr>
        <w:t xml:space="preserve"> Fakultetu djeluju i Računalni centar, Knjižica, Financijska služba, Služba nabave i komercijale, Služba općih i kadrovskih poslova, Služba studentske evidencije i Tehnička služba. </w:t>
      </w:r>
    </w:p>
    <w:p w:rsidR="00AE1E94" w:rsidRPr="009F21E6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 xml:space="preserve">Strategija </w:t>
      </w:r>
      <w:r>
        <w:rPr>
          <w:rFonts w:ascii="Arial" w:hAnsi="Arial" w:cs="Arial"/>
          <w:sz w:val="20"/>
          <w:szCs w:val="20"/>
        </w:rPr>
        <w:t xml:space="preserve">razvoja </w:t>
      </w:r>
      <w:r w:rsidRPr="009F21E6">
        <w:rPr>
          <w:rFonts w:ascii="Arial" w:hAnsi="Arial" w:cs="Arial"/>
          <w:sz w:val="20"/>
          <w:szCs w:val="20"/>
        </w:rPr>
        <w:t>Tehničkog fakulteta</w:t>
      </w:r>
      <w:r>
        <w:rPr>
          <w:rFonts w:ascii="Arial" w:hAnsi="Arial" w:cs="Arial"/>
          <w:sz w:val="20"/>
          <w:szCs w:val="20"/>
        </w:rPr>
        <w:t xml:space="preserve"> izravno se nadovezuje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Strategiju Sveučilišta u Rijeci</w:t>
      </w:r>
      <w:r w:rsidRPr="009F2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 razdoblje od 2021.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2025.</w:t>
      </w:r>
      <w:r w:rsidRPr="009F21E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 čijem je donošenju Tehnički fakultet, kao sastavnica Sveučilišta, aktivno sudjelovao te se obvezao raditi na njenoj implementaciji, s uvažavanjem specifičnosti znanstvenih područja koja su zastupljena na Fakultetu. Skladno navedenom pri provedbi Strategije Sveučilišta uvažavaju se sve posebnosti i specifičnosti T</w:t>
      </w:r>
      <w:r w:rsidRPr="009F21E6">
        <w:rPr>
          <w:rFonts w:ascii="Arial" w:hAnsi="Arial" w:cs="Arial"/>
          <w:sz w:val="20"/>
          <w:szCs w:val="20"/>
        </w:rPr>
        <w:t>ehničkog fakulteta</w:t>
      </w:r>
      <w:r>
        <w:rPr>
          <w:rFonts w:ascii="Arial" w:hAnsi="Arial" w:cs="Arial"/>
          <w:sz w:val="20"/>
          <w:szCs w:val="20"/>
        </w:rPr>
        <w:t>. Program Tehničkog fakulteta u Rijeci sukladan je s ciljem, sadržajem i misijom ustanove.</w:t>
      </w:r>
      <w:r w:rsidRPr="009F21E6">
        <w:rPr>
          <w:rFonts w:ascii="Arial" w:hAnsi="Arial" w:cs="Arial"/>
          <w:sz w:val="20"/>
          <w:szCs w:val="20"/>
        </w:rPr>
        <w:t xml:space="preserve"> 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Fakultet izvodi sveučilišne preddiplomske i diplomske studijske programe u poljima strojarstva, brodogradnje, elektrotehnike i računarstva </w:t>
      </w:r>
      <w:proofErr w:type="gramStart"/>
      <w:r>
        <w:rPr>
          <w:rFonts w:ascii="Arial" w:hAnsi="Arial" w:cs="Arial"/>
          <w:sz w:val="20"/>
          <w:szCs w:val="20"/>
        </w:rPr>
        <w:t>te</w:t>
      </w:r>
      <w:proofErr w:type="gramEnd"/>
      <w:r>
        <w:rPr>
          <w:rFonts w:ascii="Arial" w:hAnsi="Arial" w:cs="Arial"/>
          <w:sz w:val="20"/>
          <w:szCs w:val="20"/>
        </w:rPr>
        <w:t xml:space="preserve"> stručne preddiplomske studijske programe u poljima strojarstva, brodogradnje i elektrotehnike, kao i trogodišnji treći ciklus obrazovanja koji omogućava stjecanje doktorata znanosti na području tehničkih znanosti, i to u poljima strojarstva, brodogradnje, elektrotehnike, temeljnih tehničkih znanosti, interdisciplinarnih tehničkih znanosti te računarstva.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9F21E6">
        <w:rPr>
          <w:rFonts w:ascii="Arial" w:hAnsi="Arial" w:cs="Arial"/>
          <w:sz w:val="20"/>
          <w:szCs w:val="20"/>
        </w:rPr>
        <w:t xml:space="preserve">Studiji na Fakultetu ustrojeni su prema Bolonjskom modelu 3+2+3, što znači da se obrazovanje provodi kroz preddiplomski sveučilišni studij u trajanju od 3 godine, kojim se stječe 180 ECTS bodova, zatim diplomski sveučilišni studij u trajanju od 2 godine, kojim se stječe 120 ECTS bodova te poslijediplomski sveučilišni (doktorski) studij u trajanju od 3 godine, kojim se stječe 180 ECTS bodova.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F21E6">
        <w:rPr>
          <w:rFonts w:ascii="Arial" w:hAnsi="Arial" w:cs="Arial"/>
          <w:sz w:val="20"/>
          <w:szCs w:val="20"/>
        </w:rPr>
        <w:t>ablica studijskih programa nalazi se u nastavku.</w:t>
      </w:r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2660"/>
        <w:gridCol w:w="4540"/>
      </w:tblGrid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sz w:val="20"/>
                <w:szCs w:val="20"/>
              </w:rPr>
            </w:pPr>
          </w:p>
        </w:tc>
      </w:tr>
      <w:tr w:rsidR="00AE1E94" w:rsidTr="00A42460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Default="00AE1E94" w:rsidP="00A42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PREDDIPLOMSKI SVEUČILIŠNI STUDIJ 3-godišnji (180 ECTS)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Naziv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Strojarstvo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Sveučilišni prvostupnik inženjer strojarstva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Brodogradnja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Sveučilišni prvostupnik inženjer brodogradnje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Elektrotehnika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Sveučilišni prvostupnik inženjer elektrotehnike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Računarstvo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Sveučilišni prvostupnik inženjer računarstva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sz w:val="20"/>
                <w:szCs w:val="20"/>
              </w:rPr>
            </w:pPr>
          </w:p>
        </w:tc>
      </w:tr>
      <w:tr w:rsidR="00AE1E94" w:rsidTr="00A42460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Default="00AE1E94" w:rsidP="00A42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DIPLOMSKI SVEUČILIŠNI STUDIJ 2-godišnji (120 ECTS)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Naziv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Strojarstvo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Magistar inženjer strojarstva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Brodogradnja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Magistar inženjer brodogradnje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Elektrotehnika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Magistar inženjer elektrotehnike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Računarstvo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Magistar inženjer računarstva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sz w:val="20"/>
                <w:szCs w:val="20"/>
              </w:rPr>
            </w:pPr>
          </w:p>
        </w:tc>
      </w:tr>
      <w:tr w:rsidR="00AE1E94" w:rsidTr="00A42460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Default="00AE1E94" w:rsidP="00A42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POSLIJEDIPLOMSKI SVEUČILIŠNI (DOKTORSKI) STUDIJ 3-godišnji (180 ECTS)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Naziv</w:t>
            </w:r>
          </w:p>
        </w:tc>
      </w:tr>
      <w:tr w:rsidR="00AE1E94" w:rsidTr="00A42460">
        <w:trPr>
          <w:trHeight w:val="450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Strojarstvo, Brodogradnja, Temeljne tehničke znanosti i druge interdisciplinarne tehničke znanosti</w:t>
            </w:r>
          </w:p>
        </w:tc>
        <w:tc>
          <w:tcPr>
            <w:tcW w:w="4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Doktor tehničkih znanosti</w:t>
            </w:r>
          </w:p>
        </w:tc>
      </w:tr>
      <w:tr w:rsidR="00AE1E94" w:rsidTr="00A42460">
        <w:trPr>
          <w:trHeight w:val="45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E94" w:rsidTr="00A42460">
        <w:trPr>
          <w:trHeight w:val="45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E94" w:rsidTr="00A42460">
        <w:trPr>
          <w:trHeight w:val="45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Elektrotehnika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Računarstvo</w:t>
            </w:r>
          </w:p>
        </w:tc>
        <w:tc>
          <w:tcPr>
            <w:tcW w:w="4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sz w:val="20"/>
                <w:szCs w:val="20"/>
              </w:rPr>
            </w:pPr>
          </w:p>
        </w:tc>
      </w:tr>
      <w:tr w:rsidR="00AE1E94" w:rsidTr="00A42460">
        <w:trPr>
          <w:trHeight w:val="30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E1E94" w:rsidRDefault="00AE1E94" w:rsidP="00A4246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PREDDIPLOMSKI STRUČNI STUDIJ 3-godišnji (180 ECTS)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Studij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Naziv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Strojarstvo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prvostupnika inženjer strojarstva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Brodogradnja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prvostupnik inženjer brodogradnje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Elektrotehnika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Stručni prvostupnik inženjer elektrotehnike</w:t>
            </w:r>
          </w:p>
        </w:tc>
      </w:tr>
      <w:tr w:rsidR="00AE1E94" w:rsidTr="00A4246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E94" w:rsidRDefault="00AE1E94" w:rsidP="00A42460">
            <w:pPr>
              <w:rPr>
                <w:sz w:val="20"/>
                <w:szCs w:val="20"/>
              </w:rPr>
            </w:pPr>
          </w:p>
        </w:tc>
      </w:tr>
    </w:tbl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E94" w:rsidRPr="00C016F8" w:rsidRDefault="00AE1E94" w:rsidP="00AE1E94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016F8">
        <w:rPr>
          <w:rFonts w:ascii="Arial" w:hAnsi="Arial" w:cs="Arial"/>
          <w:sz w:val="20"/>
          <w:szCs w:val="20"/>
        </w:rPr>
        <w:lastRenderedPageBreak/>
        <w:t xml:space="preserve">Pored nastavnih, pri Fakultetu se odvijaju i brojne istraživačke aktivnosti, većinom u okviru rada </w:t>
      </w:r>
      <w:proofErr w:type="gramStart"/>
      <w:r w:rsidRPr="00C016F8">
        <w:rPr>
          <w:rFonts w:ascii="Arial" w:hAnsi="Arial" w:cs="Arial"/>
          <w:sz w:val="20"/>
          <w:szCs w:val="20"/>
        </w:rPr>
        <w:t>na</w:t>
      </w:r>
      <w:proofErr w:type="gramEnd"/>
      <w:r w:rsidRPr="00C016F8">
        <w:rPr>
          <w:rFonts w:ascii="Arial" w:hAnsi="Arial" w:cs="Arial"/>
          <w:sz w:val="20"/>
          <w:szCs w:val="20"/>
        </w:rPr>
        <w:t xml:space="preserve"> znanstvenim projektima</w:t>
      </w:r>
      <w:r>
        <w:rPr>
          <w:rFonts w:ascii="Arial" w:hAnsi="Arial" w:cs="Arial"/>
          <w:sz w:val="20"/>
          <w:szCs w:val="20"/>
        </w:rPr>
        <w:t xml:space="preserve"> financiranim od strane Hrvatske zaklade za znanost, EU fondova, Sveučilišta u Rijeci, gospodarstva i iz drugih izvora. Obzirom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bogatu istraživačku aktivnost, rezultati istraživanja znanstvenika predstavljaju se na brojnim znanstvenim i stručnim konferencijama te kroz objavu znanstvenih radova u časopisima od kojih je velik broj klasificiran u kategoriji s najvećim odjekom.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47533" w:rsidRDefault="00F47533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E94" w:rsidRPr="00CD4799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D4799">
        <w:rPr>
          <w:rFonts w:ascii="Arial" w:hAnsi="Arial" w:cs="Arial"/>
          <w:b/>
          <w:sz w:val="20"/>
          <w:szCs w:val="20"/>
        </w:rPr>
        <w:t>1.2. Obrazloženje programa (aktivnosti i projekata)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Financijsko poslovanjeTehničkog fakulteta Rijeka provodi se kroz program 3705 – Visoko obrazovanje. Financijski plan Tehničkog fakulteta za razdoblje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2022.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2024. </w:t>
      </w:r>
      <w:proofErr w:type="gramStart"/>
      <w:r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 sadrži: prihode po vrstama, rashode razvrstane prema proračunskim klasifikacijama i obrazloženje prijedloga financijskog plana.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I PRIMITAKA</w:t>
      </w:r>
    </w:p>
    <w:p w:rsidR="00AE1E94" w:rsidRPr="00C57581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Tehnički fakultet ostvaruje prihode iz nadležnog proračuna za financiranje redovne djelatnosti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E0022">
        <w:rPr>
          <w:rFonts w:ascii="Arial" w:hAnsi="Arial" w:cs="Arial"/>
          <w:b/>
          <w:sz w:val="20"/>
          <w:szCs w:val="20"/>
        </w:rPr>
        <w:t>podskupini 671</w:t>
      </w:r>
      <w:r>
        <w:rPr>
          <w:rFonts w:ascii="Arial" w:hAnsi="Arial" w:cs="Arial"/>
          <w:sz w:val="20"/>
          <w:szCs w:val="20"/>
        </w:rPr>
        <w:t xml:space="preserve">, odnosno iz izvora </w:t>
      </w:r>
      <w:r>
        <w:rPr>
          <w:rFonts w:ascii="Arial" w:hAnsi="Arial" w:cs="Arial"/>
          <w:b/>
          <w:i/>
          <w:sz w:val="20"/>
          <w:szCs w:val="20"/>
        </w:rPr>
        <w:t>11 - o</w:t>
      </w:r>
      <w:r w:rsidRPr="007E0022">
        <w:rPr>
          <w:rFonts w:ascii="Arial" w:hAnsi="Arial" w:cs="Arial"/>
          <w:b/>
          <w:i/>
          <w:sz w:val="20"/>
          <w:szCs w:val="20"/>
        </w:rPr>
        <w:t>pći prihodi i primici</w:t>
      </w:r>
      <w:r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Općim prihodima i primicima financira se aktivnost redovne djelatnosti fakulteta, programsko fi</w:t>
      </w:r>
      <w:r w:rsidR="00C74FF7">
        <w:rPr>
          <w:rFonts w:ascii="Arial" w:hAnsi="Arial" w:cs="Arial"/>
          <w:sz w:val="20"/>
          <w:szCs w:val="20"/>
        </w:rPr>
        <w:t>nanciranje nastavne djelatnosti i</w:t>
      </w:r>
      <w:r>
        <w:rPr>
          <w:rFonts w:ascii="Arial" w:hAnsi="Arial" w:cs="Arial"/>
          <w:sz w:val="20"/>
          <w:szCs w:val="20"/>
        </w:rPr>
        <w:t xml:space="preserve"> znanstvene dj</w:t>
      </w:r>
      <w:r w:rsidR="00C74FF7">
        <w:rPr>
          <w:rFonts w:ascii="Arial" w:hAnsi="Arial" w:cs="Arial"/>
          <w:sz w:val="20"/>
          <w:szCs w:val="20"/>
        </w:rPr>
        <w:t>elatnosti</w:t>
      </w:r>
      <w:r>
        <w:rPr>
          <w:rFonts w:ascii="Arial" w:hAnsi="Arial" w:cs="Arial"/>
          <w:sz w:val="20"/>
          <w:szCs w:val="20"/>
        </w:rPr>
        <w:t xml:space="preserve">. Nadalje, fakultet ostvaruje prihode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pruženih usluga primjerice kroz stručne projekte za gospodarstvo na </w:t>
      </w:r>
      <w:r w:rsidRPr="00D3036A">
        <w:rPr>
          <w:rFonts w:ascii="Arial" w:hAnsi="Arial" w:cs="Arial"/>
          <w:b/>
          <w:sz w:val="20"/>
          <w:szCs w:val="20"/>
        </w:rPr>
        <w:t>podskupini 661</w:t>
      </w:r>
      <w:r>
        <w:rPr>
          <w:rFonts w:ascii="Arial" w:hAnsi="Arial" w:cs="Arial"/>
          <w:sz w:val="20"/>
          <w:szCs w:val="20"/>
        </w:rPr>
        <w:t xml:space="preserve"> i prihode od financijske imovine na </w:t>
      </w:r>
      <w:r w:rsidRPr="00D3036A">
        <w:rPr>
          <w:rFonts w:ascii="Arial" w:hAnsi="Arial" w:cs="Arial"/>
          <w:b/>
          <w:sz w:val="20"/>
          <w:szCs w:val="20"/>
        </w:rPr>
        <w:t>podskupini 641</w:t>
      </w:r>
      <w:r>
        <w:rPr>
          <w:rFonts w:ascii="Arial" w:hAnsi="Arial" w:cs="Arial"/>
          <w:sz w:val="20"/>
          <w:szCs w:val="20"/>
        </w:rPr>
        <w:t xml:space="preserve">, a pripadaju izvoru </w:t>
      </w:r>
      <w:r>
        <w:rPr>
          <w:rFonts w:ascii="Arial" w:hAnsi="Arial" w:cs="Arial"/>
          <w:b/>
          <w:i/>
          <w:sz w:val="20"/>
          <w:szCs w:val="20"/>
        </w:rPr>
        <w:t>31 - vlastiti prihodi</w:t>
      </w:r>
      <w:r>
        <w:rPr>
          <w:rFonts w:ascii="Arial" w:hAnsi="Arial" w:cs="Arial"/>
          <w:sz w:val="20"/>
          <w:szCs w:val="20"/>
        </w:rPr>
        <w:t xml:space="preserve">. Prihodi po posebnim propisima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podskupini 652</w:t>
      </w:r>
      <w:r>
        <w:rPr>
          <w:rFonts w:ascii="Arial" w:hAnsi="Arial" w:cs="Arial"/>
          <w:sz w:val="20"/>
          <w:szCs w:val="20"/>
        </w:rPr>
        <w:t xml:space="preserve">, koje fakultet ostvaruje iz izvora </w:t>
      </w:r>
      <w:r>
        <w:rPr>
          <w:rFonts w:ascii="Arial" w:hAnsi="Arial" w:cs="Arial"/>
          <w:b/>
          <w:i/>
          <w:sz w:val="20"/>
          <w:szCs w:val="20"/>
        </w:rPr>
        <w:t>43 - ostali prihodi za posebne namjene</w:t>
      </w:r>
      <w:r>
        <w:rPr>
          <w:rFonts w:ascii="Arial" w:hAnsi="Arial" w:cs="Arial"/>
          <w:sz w:val="20"/>
          <w:szCs w:val="20"/>
        </w:rPr>
        <w:t xml:space="preserve">, odnose se </w:t>
      </w:r>
      <w:r w:rsidR="00C74FF7">
        <w:rPr>
          <w:rFonts w:ascii="Arial" w:hAnsi="Arial" w:cs="Arial"/>
          <w:sz w:val="20"/>
          <w:szCs w:val="20"/>
        </w:rPr>
        <w:t>na sufinanciranje cijene usluge i</w:t>
      </w:r>
      <w:r>
        <w:rPr>
          <w:rFonts w:ascii="Arial" w:hAnsi="Arial" w:cs="Arial"/>
          <w:sz w:val="20"/>
          <w:szCs w:val="20"/>
        </w:rPr>
        <w:t xml:space="preserve"> participaciju školarina. </w:t>
      </w:r>
      <w:r w:rsidRPr="00DF593F">
        <w:rPr>
          <w:rFonts w:ascii="Arial" w:hAnsi="Arial" w:cs="Arial"/>
          <w:b/>
          <w:sz w:val="20"/>
          <w:szCs w:val="20"/>
        </w:rPr>
        <w:t xml:space="preserve">Podskupina 632 </w:t>
      </w:r>
      <w:r>
        <w:rPr>
          <w:rFonts w:ascii="Arial" w:hAnsi="Arial" w:cs="Arial"/>
          <w:sz w:val="20"/>
          <w:szCs w:val="20"/>
        </w:rPr>
        <w:t xml:space="preserve">predstavlja prihode ostvarene iz izvora </w:t>
      </w:r>
      <w:r>
        <w:rPr>
          <w:rFonts w:ascii="Arial" w:hAnsi="Arial" w:cs="Arial"/>
          <w:b/>
          <w:i/>
          <w:sz w:val="20"/>
          <w:szCs w:val="20"/>
        </w:rPr>
        <w:t>51 - pomoći EU</w:t>
      </w:r>
      <w:r>
        <w:rPr>
          <w:rFonts w:ascii="Arial" w:hAnsi="Arial" w:cs="Arial"/>
          <w:sz w:val="20"/>
          <w:szCs w:val="20"/>
        </w:rPr>
        <w:t xml:space="preserve">, dakle pomoći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međunarodnih organizacija te institucija i tijela EU za provedbu projekata ERASMUS+ i Interreg. Također, fakultet ostvaruje prijenose između proračunskih korisnika istog proračuna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podskupini 639 </w:t>
      </w:r>
      <w:r>
        <w:rPr>
          <w:rFonts w:ascii="Arial" w:hAnsi="Arial" w:cs="Arial"/>
          <w:sz w:val="20"/>
          <w:szCs w:val="20"/>
        </w:rPr>
        <w:t xml:space="preserve">iz izvora </w:t>
      </w:r>
      <w:r>
        <w:rPr>
          <w:rFonts w:ascii="Arial" w:hAnsi="Arial" w:cs="Arial"/>
          <w:b/>
          <w:i/>
          <w:sz w:val="20"/>
          <w:szCs w:val="20"/>
        </w:rPr>
        <w:t>52 - ostale pomoći i darovnice</w:t>
      </w:r>
      <w:r>
        <w:rPr>
          <w:rFonts w:ascii="Arial" w:hAnsi="Arial" w:cs="Arial"/>
          <w:sz w:val="20"/>
          <w:szCs w:val="20"/>
        </w:rPr>
        <w:t xml:space="preserve"> koji se odnose na mobilnost znanstvenika, projekte studentskog zbora, bilateralne projekte Ministarstva znanosti i obrazovanja,</w:t>
      </w:r>
      <w:r w:rsidR="00C74FF7">
        <w:rPr>
          <w:rFonts w:ascii="Arial" w:hAnsi="Arial" w:cs="Arial"/>
          <w:sz w:val="20"/>
          <w:szCs w:val="20"/>
        </w:rPr>
        <w:t xml:space="preserve"> projekte Hrvatske zaklade za znanost</w:t>
      </w:r>
      <w:r>
        <w:rPr>
          <w:rFonts w:ascii="Arial" w:hAnsi="Arial" w:cs="Arial"/>
          <w:sz w:val="20"/>
          <w:szCs w:val="20"/>
        </w:rPr>
        <w:t xml:space="preserve"> kao i prijenose EU sredstava. Fakultet je planirao i ostvarenje prihoda od donacija pravnih i fizičkih osoba izvan općeg proračuna na </w:t>
      </w:r>
      <w:r>
        <w:rPr>
          <w:rFonts w:ascii="Arial" w:hAnsi="Arial" w:cs="Arial"/>
          <w:b/>
          <w:sz w:val="20"/>
          <w:szCs w:val="20"/>
        </w:rPr>
        <w:t>podskupini 663</w:t>
      </w:r>
      <w:r>
        <w:rPr>
          <w:rFonts w:ascii="Arial" w:hAnsi="Arial" w:cs="Arial"/>
          <w:sz w:val="20"/>
          <w:szCs w:val="20"/>
        </w:rPr>
        <w:t xml:space="preserve">, iz izvora </w:t>
      </w:r>
      <w:r>
        <w:rPr>
          <w:rFonts w:ascii="Arial" w:hAnsi="Arial" w:cs="Arial"/>
          <w:b/>
          <w:i/>
          <w:sz w:val="20"/>
          <w:szCs w:val="20"/>
        </w:rPr>
        <w:t>61 - donacije</w:t>
      </w:r>
      <w:r>
        <w:rPr>
          <w:rFonts w:ascii="Arial" w:hAnsi="Arial" w:cs="Arial"/>
          <w:sz w:val="20"/>
          <w:szCs w:val="20"/>
        </w:rPr>
        <w:t xml:space="preserve">  i prihode od prodaje stambenih objekata za zaposlene na </w:t>
      </w:r>
      <w:r w:rsidRPr="00C57581">
        <w:rPr>
          <w:rFonts w:ascii="Arial" w:hAnsi="Arial" w:cs="Arial"/>
          <w:b/>
          <w:sz w:val="20"/>
          <w:szCs w:val="20"/>
        </w:rPr>
        <w:t>podskupini 721</w:t>
      </w:r>
      <w:r>
        <w:rPr>
          <w:rFonts w:ascii="Arial" w:hAnsi="Arial" w:cs="Arial"/>
          <w:sz w:val="20"/>
          <w:szCs w:val="20"/>
        </w:rPr>
        <w:t xml:space="preserve">, iz izvora </w:t>
      </w:r>
      <w:r w:rsidRPr="00C57581">
        <w:rPr>
          <w:rFonts w:ascii="Arial" w:hAnsi="Arial" w:cs="Arial"/>
          <w:b/>
          <w:i/>
          <w:sz w:val="20"/>
          <w:szCs w:val="20"/>
        </w:rPr>
        <w:t>71 – prihodi od prodaje ili zamjene nefinancijske imovine i naknade s naslova osiguranja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1211C">
        <w:rPr>
          <w:rFonts w:ascii="Arial" w:hAnsi="Arial" w:cs="Arial"/>
          <w:sz w:val="20"/>
          <w:szCs w:val="20"/>
        </w:rPr>
        <w:t xml:space="preserve">Sveukupni prihodi u 2022. </w:t>
      </w:r>
      <w:proofErr w:type="gramStart"/>
      <w:r w:rsidRPr="0041211C">
        <w:rPr>
          <w:rFonts w:ascii="Arial" w:hAnsi="Arial" w:cs="Arial"/>
          <w:sz w:val="20"/>
          <w:szCs w:val="20"/>
        </w:rPr>
        <w:t>god</w:t>
      </w:r>
      <w:r>
        <w:rPr>
          <w:rFonts w:ascii="Arial" w:hAnsi="Arial" w:cs="Arial"/>
          <w:sz w:val="20"/>
          <w:szCs w:val="20"/>
        </w:rPr>
        <w:t>ini</w:t>
      </w:r>
      <w:proofErr w:type="gramEnd"/>
      <w:r>
        <w:rPr>
          <w:rFonts w:ascii="Arial" w:hAnsi="Arial" w:cs="Arial"/>
          <w:sz w:val="20"/>
          <w:szCs w:val="20"/>
        </w:rPr>
        <w:t xml:space="preserve"> planirani su u iznosu 52.441.890</w:t>
      </w:r>
      <w:r w:rsidRPr="0041211C">
        <w:rPr>
          <w:rFonts w:ascii="Arial" w:hAnsi="Arial" w:cs="Arial"/>
          <w:sz w:val="20"/>
          <w:szCs w:val="20"/>
        </w:rPr>
        <w:t xml:space="preserve"> kn, dok je projekcija plana pr</w:t>
      </w:r>
      <w:r>
        <w:rPr>
          <w:rFonts w:ascii="Arial" w:hAnsi="Arial" w:cs="Arial"/>
          <w:sz w:val="20"/>
          <w:szCs w:val="20"/>
        </w:rPr>
        <w:t xml:space="preserve">ihoda za 2023.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52.479.046 kn, te za 2024.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51.219.616</w:t>
      </w:r>
      <w:r w:rsidRPr="0041211C">
        <w:rPr>
          <w:rFonts w:ascii="Arial" w:hAnsi="Arial" w:cs="Arial"/>
          <w:sz w:val="20"/>
          <w:szCs w:val="20"/>
        </w:rPr>
        <w:t xml:space="preserve"> kn.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RASHODA I IZDATAKA</w:t>
      </w:r>
    </w:p>
    <w:p w:rsidR="00AE1E94" w:rsidRDefault="00AE1E94" w:rsidP="00AE1E94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Financijsko poslovanje Tehničkog fakulteta u Rijeci u razdoblju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2022.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 xml:space="preserve"> 2024. </w:t>
      </w:r>
      <w:proofErr w:type="gramStart"/>
      <w:r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 planira se odvijati kroz sljedeće aktivnosti i projekte: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68D2">
        <w:rPr>
          <w:rFonts w:ascii="Arial" w:hAnsi="Arial" w:cs="Arial"/>
          <w:b/>
          <w:sz w:val="20"/>
          <w:szCs w:val="20"/>
          <w:highlight w:val="lightGray"/>
        </w:rPr>
        <w:t>Aktivnost 621002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1F2B62">
        <w:rPr>
          <w:rFonts w:ascii="Arial" w:hAnsi="Arial" w:cs="Arial"/>
          <w:b/>
          <w:sz w:val="20"/>
          <w:szCs w:val="20"/>
        </w:rPr>
        <w:t>Redovna djelatnost Sveučilišta u Rijeci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55B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Pr="00D4655B">
        <w:rPr>
          <w:rFonts w:ascii="Arial" w:hAnsi="Arial" w:cs="Arial"/>
          <w:b/>
          <w:sz w:val="20"/>
          <w:szCs w:val="20"/>
        </w:rPr>
        <w:t>izvor</w:t>
      </w:r>
      <w:proofErr w:type="gramEnd"/>
      <w:r w:rsidRPr="00D4655B">
        <w:rPr>
          <w:rFonts w:ascii="Arial" w:hAnsi="Arial" w:cs="Arial"/>
          <w:b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Opći prihodi i primici - financijski plan prikazuje sredstva za plaće, naknade za prijevoz na posao i s posla, materijalna prava zaposlenika, zdravstvene usluge i naknadu za nezapošljavanje osoba s invaliditetom temeljem dobivenih limita za izvor financiranja 11 – opći prihodi i primici od Sveučilišta u Rijeci  03.12.2021. </w:t>
      </w:r>
      <w:proofErr w:type="gramStart"/>
      <w:r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. U 2022.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za</w:t>
      </w:r>
      <w:proofErr w:type="gramEnd"/>
      <w:r>
        <w:rPr>
          <w:rFonts w:ascii="Arial" w:hAnsi="Arial" w:cs="Arial"/>
          <w:sz w:val="20"/>
          <w:szCs w:val="20"/>
        </w:rPr>
        <w:t xml:space="preserve"> ovu aktivnost predviđeno je 35.225.253 kn, projekcija za 2023.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iznosi</w:t>
      </w:r>
      <w:proofErr w:type="gramEnd"/>
      <w:r>
        <w:rPr>
          <w:rFonts w:ascii="Arial" w:hAnsi="Arial" w:cs="Arial"/>
          <w:sz w:val="20"/>
          <w:szCs w:val="20"/>
        </w:rPr>
        <w:t xml:space="preserve"> 35.330.910 kn te projekcija za 2024.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35.493.420 </w:t>
      </w:r>
      <w:proofErr w:type="gramStart"/>
      <w:r>
        <w:rPr>
          <w:rFonts w:ascii="Arial" w:hAnsi="Arial" w:cs="Arial"/>
          <w:sz w:val="20"/>
          <w:szCs w:val="20"/>
        </w:rPr>
        <w:t>kn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</w:tblGrid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EA7">
              <w:rPr>
                <w:rFonts w:ascii="Arial" w:hAnsi="Arial" w:cs="Arial"/>
                <w:sz w:val="20"/>
                <w:szCs w:val="20"/>
              </w:rPr>
              <w:lastRenderedPageBreak/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2022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2023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2024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Indeks 22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EA7">
              <w:rPr>
                <w:rFonts w:ascii="Arial" w:hAnsi="Arial" w:cs="Arial"/>
                <w:b/>
                <w:sz w:val="20"/>
                <w:szCs w:val="20"/>
              </w:rPr>
              <w:t>A 621002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34.3</w:t>
            </w:r>
            <w:r w:rsidRPr="000C7EA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1.88</w:t>
            </w:r>
            <w:r w:rsidRPr="000C7E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35.225.253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35.330.910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35.493.420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102,54</w:t>
            </w:r>
          </w:p>
        </w:tc>
      </w:tr>
    </w:tbl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E94" w:rsidRPr="00D24E21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68D2">
        <w:rPr>
          <w:rFonts w:ascii="Arial" w:hAnsi="Arial" w:cs="Arial"/>
          <w:b/>
          <w:sz w:val="20"/>
          <w:szCs w:val="20"/>
          <w:highlight w:val="lightGray"/>
        </w:rPr>
        <w:t>Aktivnost 62</w:t>
      </w:r>
      <w:r>
        <w:rPr>
          <w:rFonts w:ascii="Arial" w:hAnsi="Arial" w:cs="Arial"/>
          <w:b/>
          <w:sz w:val="20"/>
          <w:szCs w:val="20"/>
          <w:highlight w:val="lightGray"/>
        </w:rPr>
        <w:t>212</w:t>
      </w:r>
      <w:r w:rsidRPr="001E68D2">
        <w:rPr>
          <w:rFonts w:ascii="Arial" w:hAnsi="Arial" w:cs="Arial"/>
          <w:b/>
          <w:sz w:val="20"/>
          <w:szCs w:val="20"/>
          <w:highlight w:val="lightGray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B8740F">
        <w:rPr>
          <w:rFonts w:ascii="Arial" w:hAnsi="Arial" w:cs="Arial"/>
          <w:b/>
          <w:sz w:val="20"/>
          <w:szCs w:val="20"/>
        </w:rPr>
        <w:t>Programsko financiranje</w:t>
      </w:r>
      <w:r>
        <w:rPr>
          <w:rFonts w:ascii="Arial" w:hAnsi="Arial" w:cs="Arial"/>
          <w:b/>
          <w:sz w:val="20"/>
          <w:szCs w:val="20"/>
        </w:rPr>
        <w:t xml:space="preserve"> javnih visokih učilišta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55B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Pr="00D4655B">
        <w:rPr>
          <w:rFonts w:ascii="Arial" w:hAnsi="Arial" w:cs="Arial"/>
          <w:b/>
          <w:sz w:val="20"/>
          <w:szCs w:val="20"/>
        </w:rPr>
        <w:t>izvor</w:t>
      </w:r>
      <w:proofErr w:type="gramEnd"/>
      <w:r w:rsidRPr="00D4655B">
        <w:rPr>
          <w:rFonts w:ascii="Arial" w:hAnsi="Arial" w:cs="Arial"/>
          <w:b/>
          <w:sz w:val="20"/>
          <w:szCs w:val="20"/>
        </w:rPr>
        <w:t xml:space="preserve"> 11</w:t>
      </w:r>
      <w:r>
        <w:rPr>
          <w:rFonts w:ascii="Arial" w:hAnsi="Arial" w:cs="Arial"/>
          <w:sz w:val="20"/>
          <w:szCs w:val="20"/>
        </w:rPr>
        <w:t xml:space="preserve"> Opći prihodi i primici - financijski plan prikazuje sredstva za financiranje nastavne djelatnosti, financiranje znanstvene i umjetničke djelatnosti te financiranje različitih znanstvenih potpora istraživanjima temeljem dobivenih limita od Sveučilišta u Rijeci. Programska sredstva Sveučilište u Rijeci uplaćuje temeljem Ugovora o programskom financiranju, a namijenjena su osiguravanju procesa odvijanja nastavnih i znanstvenih aktivnosti. Temeljem Ugovora o dodjeli sredstava potpore znanstvenim istraživanjima Sveučilišta u Rijeci, u ovoj aktivnosti planirana su sredstva za 28 UniRi znanstvenih potpora. Za cijelo trogodišnje razdoblje sredstva programskog financiranja planiraju se u istom iznosu. U 2022.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za</w:t>
      </w:r>
      <w:proofErr w:type="gramEnd"/>
      <w:r>
        <w:rPr>
          <w:rFonts w:ascii="Arial" w:hAnsi="Arial" w:cs="Arial"/>
          <w:sz w:val="20"/>
          <w:szCs w:val="20"/>
        </w:rPr>
        <w:t xml:space="preserve"> ovu aktivnost predviđeno je 4.728.702 kn, projekcija za 2023.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također</w:t>
      </w:r>
      <w:proofErr w:type="gramEnd"/>
      <w:r>
        <w:rPr>
          <w:rFonts w:ascii="Arial" w:hAnsi="Arial" w:cs="Arial"/>
          <w:sz w:val="20"/>
          <w:szCs w:val="20"/>
        </w:rPr>
        <w:t xml:space="preserve"> iznosi 4.728.702 kn te projekcija za 2024.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4.728.702 kn. Planiranim prihodima </w:t>
      </w: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programskih ugovora financirat će se materijalni rashodi u iznosu 3.096.702 kn, financijski rashodi u iznosu 22.000 kn te rashodi za nabavu proizvedene dugotrajne imovine u iznosu 1.610.000 kn.</w:t>
      </w:r>
    </w:p>
    <w:p w:rsidR="00F47533" w:rsidRDefault="00F47533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</w:tblGrid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EA7">
              <w:rPr>
                <w:rFonts w:ascii="Arial" w:hAnsi="Arial" w:cs="Arial"/>
                <w:sz w:val="20"/>
                <w:szCs w:val="20"/>
              </w:rPr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2022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2023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2024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Indeks 22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EA7">
              <w:rPr>
                <w:rFonts w:ascii="Arial" w:hAnsi="Arial" w:cs="Arial"/>
                <w:b/>
                <w:sz w:val="20"/>
                <w:szCs w:val="20"/>
              </w:rPr>
              <w:t>A 622122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EA7">
              <w:rPr>
                <w:rFonts w:ascii="Arial" w:hAnsi="Arial" w:cs="Arial"/>
                <w:sz w:val="20"/>
                <w:szCs w:val="20"/>
              </w:rPr>
              <w:t>4.722.990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4.728.702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4.728.702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4.728.702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100,12</w:t>
            </w:r>
          </w:p>
        </w:tc>
      </w:tr>
    </w:tbl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E68D2">
        <w:rPr>
          <w:rFonts w:ascii="Arial" w:hAnsi="Arial" w:cs="Arial"/>
          <w:b/>
          <w:sz w:val="20"/>
          <w:szCs w:val="20"/>
          <w:highlight w:val="lightGray"/>
        </w:rPr>
        <w:t xml:space="preserve">Aktivnost 679089 </w:t>
      </w:r>
      <w:r w:rsidRPr="001E68D2">
        <w:rPr>
          <w:rFonts w:ascii="Arial" w:hAnsi="Arial" w:cs="Arial"/>
          <w:b/>
          <w:sz w:val="20"/>
          <w:szCs w:val="20"/>
        </w:rPr>
        <w:t>– R</w:t>
      </w:r>
      <w:r>
        <w:rPr>
          <w:rFonts w:ascii="Arial" w:hAnsi="Arial" w:cs="Arial"/>
          <w:b/>
          <w:sz w:val="20"/>
          <w:szCs w:val="20"/>
        </w:rPr>
        <w:t>edovna djelatnost Sveučilišta u Rijeci – iz evidencijskih prihoda</w:t>
      </w:r>
      <w:r w:rsidRPr="00B84550">
        <w:rPr>
          <w:rFonts w:ascii="Arial" w:hAnsi="Arial" w:cs="Arial"/>
          <w:sz w:val="20"/>
          <w:szCs w:val="20"/>
        </w:rPr>
        <w:t xml:space="preserve">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55B">
        <w:rPr>
          <w:rFonts w:ascii="Arial" w:hAnsi="Arial" w:cs="Arial"/>
          <w:b/>
          <w:sz w:val="20"/>
          <w:szCs w:val="20"/>
        </w:rPr>
        <w:t>– izvor 31</w:t>
      </w:r>
      <w:r>
        <w:rPr>
          <w:rFonts w:ascii="Arial" w:hAnsi="Arial" w:cs="Arial"/>
          <w:sz w:val="20"/>
          <w:szCs w:val="20"/>
        </w:rPr>
        <w:t xml:space="preserve"> Vlastiti prihodi i </w:t>
      </w:r>
      <w:r w:rsidRPr="00D4655B">
        <w:rPr>
          <w:rFonts w:ascii="Arial" w:hAnsi="Arial" w:cs="Arial"/>
          <w:b/>
          <w:sz w:val="20"/>
          <w:szCs w:val="20"/>
        </w:rPr>
        <w:t>izvor 43</w:t>
      </w:r>
      <w:r>
        <w:rPr>
          <w:rFonts w:ascii="Arial" w:hAnsi="Arial" w:cs="Arial"/>
          <w:sz w:val="20"/>
          <w:szCs w:val="20"/>
        </w:rPr>
        <w:t xml:space="preserve"> Prihodi za posebne namjene -</w:t>
      </w:r>
      <w:r w:rsidRPr="00EC31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financijski plan prikazuje sredstva koja su temeljem Upute Ministarstva financija i Ministarstva znanosti i obrazovanja izuzeta od uplate vlastitih i namjenskih prihoda i primitaka u državni proračun, a obuhvaćaju stručne projekte, tečajeve, cjeloživotne programe, izdavačku djelatnost, iznajmljivanje prostora, sponzorstva i sl., te namjenske prihode kao što su školarine, upisnine, refundacija štete s naslova osiguranj</w:t>
      </w:r>
      <w:r w:rsidR="00F247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 ostale prihode za posebne namjene;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55B">
        <w:rPr>
          <w:rFonts w:ascii="Arial" w:hAnsi="Arial" w:cs="Arial"/>
          <w:b/>
          <w:sz w:val="20"/>
          <w:szCs w:val="20"/>
        </w:rPr>
        <w:t>– izvor 52</w:t>
      </w:r>
      <w:r>
        <w:rPr>
          <w:rFonts w:ascii="Arial" w:hAnsi="Arial" w:cs="Arial"/>
          <w:sz w:val="20"/>
          <w:szCs w:val="20"/>
        </w:rPr>
        <w:t xml:space="preserve"> Ostale pomoći - financijski plan prikazuje sredstva za projekte Hrvatske zaklade za znanost (7 projekata), sredstva za plaće mladih istraživača Hrvatske zaklade za znanost, sufinanciranje studentskih programa i projekata Studentskog zbora Sveučilišta u Rijeci, sredstva za internacionalizaciju i mobilnost i slične prijenose sredstava između proračunskih korisnika istog proračuna;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55B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Pr="00D4655B">
        <w:rPr>
          <w:rFonts w:ascii="Arial" w:hAnsi="Arial" w:cs="Arial"/>
          <w:b/>
          <w:sz w:val="20"/>
          <w:szCs w:val="20"/>
        </w:rPr>
        <w:t>izvor  61</w:t>
      </w:r>
      <w:proofErr w:type="gramEnd"/>
      <w:r>
        <w:rPr>
          <w:rFonts w:ascii="Arial" w:hAnsi="Arial" w:cs="Arial"/>
          <w:sz w:val="20"/>
          <w:szCs w:val="20"/>
        </w:rPr>
        <w:t xml:space="preserve"> Donacije - financijski plan prikazuje sredstva dobivena donacijom;</w:t>
      </w:r>
    </w:p>
    <w:p w:rsidR="00AE1E94" w:rsidRPr="00BA4C49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55B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Pr="00D4655B">
        <w:rPr>
          <w:rFonts w:ascii="Arial" w:hAnsi="Arial" w:cs="Arial"/>
          <w:b/>
          <w:sz w:val="20"/>
          <w:szCs w:val="20"/>
        </w:rPr>
        <w:t>izvor</w:t>
      </w:r>
      <w:proofErr w:type="gramEnd"/>
      <w:r w:rsidRPr="00D4655B">
        <w:rPr>
          <w:rFonts w:ascii="Arial" w:hAnsi="Arial" w:cs="Arial"/>
          <w:b/>
          <w:sz w:val="20"/>
          <w:szCs w:val="20"/>
        </w:rPr>
        <w:t xml:space="preserve"> 71</w:t>
      </w:r>
      <w:r w:rsidRPr="00BA4C49">
        <w:rPr>
          <w:rFonts w:ascii="Arial" w:hAnsi="Arial" w:cs="Arial"/>
          <w:sz w:val="20"/>
          <w:szCs w:val="20"/>
        </w:rPr>
        <w:t xml:space="preserve"> Prihodi od nefinancijske imovine – financijski plan prikazuje sredstva koja se odnose na obročnu otplatu stanova prodanih kupcima 1992. </w:t>
      </w:r>
      <w:proofErr w:type="gramStart"/>
      <w:r w:rsidRPr="00BA4C49">
        <w:rPr>
          <w:rFonts w:ascii="Arial" w:hAnsi="Arial" w:cs="Arial"/>
          <w:sz w:val="20"/>
          <w:szCs w:val="20"/>
        </w:rPr>
        <w:t>god.,</w:t>
      </w:r>
      <w:proofErr w:type="gramEnd"/>
      <w:r w:rsidRPr="00BA4C49">
        <w:rPr>
          <w:rFonts w:ascii="Arial" w:hAnsi="Arial" w:cs="Arial"/>
          <w:sz w:val="20"/>
          <w:szCs w:val="20"/>
        </w:rPr>
        <w:t xml:space="preserve"> po ugovorima o prodaji stanova na kojima je postojalo stanarsko pravo.  </w:t>
      </w:r>
    </w:p>
    <w:p w:rsidR="00AE1E94" w:rsidRPr="000A5BD1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5014">
        <w:rPr>
          <w:rFonts w:ascii="Arial" w:hAnsi="Arial" w:cs="Arial"/>
          <w:sz w:val="20"/>
          <w:szCs w:val="20"/>
        </w:rPr>
        <w:t xml:space="preserve">Za provođenje ove aktivnosti predviđeno je u 2022. </w:t>
      </w:r>
      <w:proofErr w:type="gramStart"/>
      <w:r w:rsidRPr="00D05014">
        <w:rPr>
          <w:rFonts w:ascii="Arial" w:hAnsi="Arial" w:cs="Arial"/>
          <w:sz w:val="20"/>
          <w:szCs w:val="20"/>
        </w:rPr>
        <w:t>god</w:t>
      </w:r>
      <w:proofErr w:type="gramEnd"/>
      <w:r w:rsidRPr="00D05014">
        <w:rPr>
          <w:rFonts w:ascii="Arial" w:hAnsi="Arial" w:cs="Arial"/>
          <w:sz w:val="20"/>
          <w:szCs w:val="20"/>
        </w:rPr>
        <w:t xml:space="preserve">. 9.460.984 </w:t>
      </w:r>
      <w:proofErr w:type="gramStart"/>
      <w:r w:rsidRPr="00D05014">
        <w:rPr>
          <w:rFonts w:ascii="Arial" w:hAnsi="Arial" w:cs="Arial"/>
          <w:sz w:val="20"/>
          <w:szCs w:val="20"/>
        </w:rPr>
        <w:t>kn</w:t>
      </w:r>
      <w:proofErr w:type="gramEnd"/>
      <w:r w:rsidRPr="00D05014">
        <w:rPr>
          <w:rFonts w:ascii="Arial" w:hAnsi="Arial" w:cs="Arial"/>
          <w:sz w:val="20"/>
          <w:szCs w:val="20"/>
        </w:rPr>
        <w:t xml:space="preserve">, u 2023. </w:t>
      </w:r>
      <w:proofErr w:type="gramStart"/>
      <w:r w:rsidRPr="00D05014">
        <w:rPr>
          <w:rFonts w:ascii="Arial" w:hAnsi="Arial" w:cs="Arial"/>
          <w:sz w:val="20"/>
          <w:szCs w:val="20"/>
        </w:rPr>
        <w:t>god</w:t>
      </w:r>
      <w:proofErr w:type="gramEnd"/>
      <w:r w:rsidRPr="00D05014">
        <w:rPr>
          <w:rFonts w:ascii="Arial" w:hAnsi="Arial" w:cs="Arial"/>
          <w:sz w:val="20"/>
          <w:szCs w:val="20"/>
        </w:rPr>
        <w:t xml:space="preserve">. 11.193.425 </w:t>
      </w:r>
      <w:proofErr w:type="gramStart"/>
      <w:r w:rsidRPr="00D05014">
        <w:rPr>
          <w:rFonts w:ascii="Arial" w:hAnsi="Arial" w:cs="Arial"/>
          <w:sz w:val="20"/>
          <w:szCs w:val="20"/>
        </w:rPr>
        <w:t>kn</w:t>
      </w:r>
      <w:proofErr w:type="gramEnd"/>
      <w:r w:rsidRPr="00D05014">
        <w:rPr>
          <w:rFonts w:ascii="Arial" w:hAnsi="Arial" w:cs="Arial"/>
          <w:sz w:val="20"/>
          <w:szCs w:val="20"/>
        </w:rPr>
        <w:t xml:space="preserve">, te u 2024. </w:t>
      </w:r>
      <w:proofErr w:type="gramStart"/>
      <w:r w:rsidRPr="00D05014">
        <w:rPr>
          <w:rFonts w:ascii="Arial" w:hAnsi="Arial" w:cs="Arial"/>
          <w:sz w:val="20"/>
          <w:szCs w:val="20"/>
        </w:rPr>
        <w:t>god</w:t>
      </w:r>
      <w:proofErr w:type="gramEnd"/>
      <w:r w:rsidRPr="00D05014">
        <w:rPr>
          <w:rFonts w:ascii="Arial" w:hAnsi="Arial" w:cs="Arial"/>
          <w:sz w:val="20"/>
          <w:szCs w:val="20"/>
        </w:rPr>
        <w:t>. 11.100.494 kn.</w:t>
      </w:r>
      <w:r>
        <w:rPr>
          <w:rFonts w:ascii="Arial" w:hAnsi="Arial" w:cs="Arial"/>
          <w:sz w:val="20"/>
          <w:szCs w:val="20"/>
        </w:rPr>
        <w:t xml:space="preserve"> Rashodi iz izvora 52 u 2022. god</w:t>
      </w:r>
      <w:proofErr w:type="gramStart"/>
      <w:r>
        <w:rPr>
          <w:rFonts w:ascii="Arial" w:hAnsi="Arial" w:cs="Arial"/>
          <w:sz w:val="20"/>
          <w:szCs w:val="20"/>
        </w:rPr>
        <w:t>.(</w:t>
      </w:r>
      <w:proofErr w:type="gramEnd"/>
      <w:r>
        <w:rPr>
          <w:rFonts w:ascii="Arial" w:hAnsi="Arial" w:cs="Arial"/>
          <w:sz w:val="20"/>
          <w:szCs w:val="20"/>
        </w:rPr>
        <w:t>1.932.132</w:t>
      </w:r>
      <w:r w:rsidRPr="00D05014">
        <w:rPr>
          <w:rFonts w:ascii="Arial" w:hAnsi="Arial" w:cs="Arial"/>
          <w:sz w:val="20"/>
          <w:szCs w:val="20"/>
        </w:rPr>
        <w:t xml:space="preserve"> kn) na ovoj aktivnosti manji su od ostvarenih prihoda u 2022. </w:t>
      </w:r>
      <w:proofErr w:type="gramStart"/>
      <w:r w:rsidRPr="00D05014">
        <w:rPr>
          <w:rFonts w:ascii="Arial" w:hAnsi="Arial" w:cs="Arial"/>
          <w:sz w:val="20"/>
          <w:szCs w:val="20"/>
        </w:rPr>
        <w:t>god</w:t>
      </w:r>
      <w:proofErr w:type="gramEnd"/>
      <w:r w:rsidRPr="00D0501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D05014">
        <w:rPr>
          <w:rFonts w:ascii="Arial" w:hAnsi="Arial" w:cs="Arial"/>
          <w:sz w:val="20"/>
          <w:szCs w:val="20"/>
        </w:rPr>
        <w:t>pa</w:t>
      </w:r>
      <w:proofErr w:type="gramEnd"/>
      <w:r w:rsidRPr="00D05014">
        <w:rPr>
          <w:rFonts w:ascii="Arial" w:hAnsi="Arial" w:cs="Arial"/>
          <w:sz w:val="20"/>
          <w:szCs w:val="20"/>
        </w:rPr>
        <w:t xml:space="preserve"> su iskazani neut</w:t>
      </w:r>
      <w:r>
        <w:rPr>
          <w:rFonts w:ascii="Arial" w:hAnsi="Arial" w:cs="Arial"/>
          <w:sz w:val="20"/>
          <w:szCs w:val="20"/>
        </w:rPr>
        <w:t>rošeni prihodi u iznosu od 240.508</w:t>
      </w:r>
      <w:r w:rsidRPr="00D05014">
        <w:rPr>
          <w:rFonts w:ascii="Arial" w:hAnsi="Arial" w:cs="Arial"/>
          <w:sz w:val="20"/>
          <w:szCs w:val="20"/>
        </w:rPr>
        <w:t xml:space="preserve"> kn kao odnos u 2023. </w:t>
      </w:r>
      <w:proofErr w:type="gramStart"/>
      <w:r w:rsidRPr="00D05014">
        <w:rPr>
          <w:rFonts w:ascii="Arial" w:hAnsi="Arial" w:cs="Arial"/>
          <w:sz w:val="20"/>
          <w:szCs w:val="20"/>
        </w:rPr>
        <w:t>god.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a odnose se na višak sredstava za projekte Hrvatske zaklade za znanost.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</w:tblGrid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EA7">
              <w:rPr>
                <w:rFonts w:ascii="Arial" w:hAnsi="Arial" w:cs="Arial"/>
                <w:sz w:val="20"/>
                <w:szCs w:val="20"/>
              </w:rPr>
              <w:lastRenderedPageBreak/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2022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2023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2024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Indeks 22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EA7">
              <w:rPr>
                <w:rFonts w:ascii="Arial" w:hAnsi="Arial" w:cs="Arial"/>
                <w:b/>
                <w:sz w:val="20"/>
                <w:szCs w:val="20"/>
              </w:rPr>
              <w:t>A 679089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11.680.0</w:t>
            </w:r>
            <w:r w:rsidRPr="000C7EA7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9.460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984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11.193.425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11.100.494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0C7E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E68D2">
        <w:rPr>
          <w:rFonts w:ascii="Arial" w:hAnsi="Arial" w:cs="Arial"/>
          <w:b/>
          <w:sz w:val="20"/>
          <w:szCs w:val="20"/>
          <w:highlight w:val="lightGray"/>
        </w:rPr>
        <w:t>Aktivnost 679072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686177">
        <w:rPr>
          <w:rFonts w:ascii="Arial" w:hAnsi="Arial" w:cs="Arial"/>
          <w:b/>
          <w:sz w:val="20"/>
          <w:szCs w:val="20"/>
        </w:rPr>
        <w:t>EU projekt</w:t>
      </w:r>
      <w:r>
        <w:rPr>
          <w:rFonts w:ascii="Arial" w:hAnsi="Arial" w:cs="Arial"/>
          <w:b/>
          <w:sz w:val="20"/>
          <w:szCs w:val="20"/>
        </w:rPr>
        <w:t>i Sveučilišta</w:t>
      </w:r>
      <w:r w:rsidRPr="00686177">
        <w:rPr>
          <w:rFonts w:ascii="Arial" w:hAnsi="Arial" w:cs="Arial"/>
          <w:b/>
          <w:sz w:val="20"/>
          <w:szCs w:val="20"/>
        </w:rPr>
        <w:t xml:space="preserve"> u Rijeci </w:t>
      </w:r>
      <w:r>
        <w:rPr>
          <w:rFonts w:ascii="Arial" w:hAnsi="Arial" w:cs="Arial"/>
          <w:b/>
          <w:sz w:val="20"/>
          <w:szCs w:val="20"/>
        </w:rPr>
        <w:t>–</w:t>
      </w:r>
      <w:r w:rsidRPr="006861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iz evidencijskih prihoda</w:t>
      </w:r>
      <w:r w:rsidRPr="00686177">
        <w:rPr>
          <w:rFonts w:ascii="Arial" w:hAnsi="Arial" w:cs="Arial"/>
          <w:b/>
          <w:sz w:val="20"/>
          <w:szCs w:val="20"/>
        </w:rPr>
        <w:t xml:space="preserve"> 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7026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Pr="001C7026">
        <w:rPr>
          <w:rFonts w:ascii="Arial" w:hAnsi="Arial" w:cs="Arial"/>
          <w:b/>
          <w:sz w:val="20"/>
          <w:szCs w:val="20"/>
        </w:rPr>
        <w:t>izvor</w:t>
      </w:r>
      <w:proofErr w:type="gramEnd"/>
      <w:r w:rsidRPr="001C7026">
        <w:rPr>
          <w:rFonts w:ascii="Arial" w:hAnsi="Arial" w:cs="Arial"/>
          <w:b/>
          <w:sz w:val="20"/>
          <w:szCs w:val="20"/>
        </w:rPr>
        <w:t xml:space="preserve"> 51</w:t>
      </w:r>
      <w:r>
        <w:rPr>
          <w:rFonts w:ascii="Arial" w:hAnsi="Arial" w:cs="Arial"/>
          <w:sz w:val="20"/>
          <w:szCs w:val="20"/>
        </w:rPr>
        <w:t xml:space="preserve"> Pomoći EU - </w:t>
      </w:r>
      <w:r w:rsidRPr="00686177">
        <w:rPr>
          <w:rFonts w:ascii="Arial" w:hAnsi="Arial" w:cs="Arial"/>
          <w:sz w:val="20"/>
          <w:szCs w:val="20"/>
        </w:rPr>
        <w:t xml:space="preserve">financijski plan </w:t>
      </w:r>
      <w:r>
        <w:rPr>
          <w:rFonts w:ascii="Arial" w:hAnsi="Arial" w:cs="Arial"/>
          <w:sz w:val="20"/>
          <w:szCs w:val="20"/>
        </w:rPr>
        <w:t xml:space="preserve">2022.-2024. </w:t>
      </w:r>
      <w:proofErr w:type="gramStart"/>
      <w:r w:rsidRPr="00686177">
        <w:rPr>
          <w:rFonts w:ascii="Arial" w:hAnsi="Arial" w:cs="Arial"/>
          <w:sz w:val="20"/>
          <w:szCs w:val="20"/>
        </w:rPr>
        <w:t>prikazuje</w:t>
      </w:r>
      <w:proofErr w:type="gramEnd"/>
      <w:r w:rsidRPr="00686177">
        <w:rPr>
          <w:rFonts w:ascii="Arial" w:hAnsi="Arial" w:cs="Arial"/>
          <w:sz w:val="20"/>
          <w:szCs w:val="20"/>
        </w:rPr>
        <w:t xml:space="preserve"> sredstva</w:t>
      </w:r>
      <w:r>
        <w:rPr>
          <w:rFonts w:ascii="Arial" w:hAnsi="Arial" w:cs="Arial"/>
          <w:sz w:val="20"/>
          <w:szCs w:val="20"/>
        </w:rPr>
        <w:t xml:space="preserve"> pomoći od institucija i tijela EU </w:t>
      </w:r>
      <w:r w:rsidRPr="00686177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 xml:space="preserve"> projekte: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9EA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3D660F">
        <w:rPr>
          <w:rFonts w:ascii="Arial" w:hAnsi="Arial" w:cs="Arial"/>
          <w:b/>
          <w:sz w:val="20"/>
          <w:szCs w:val="20"/>
        </w:rPr>
        <w:t>METRO Interreg</w:t>
      </w:r>
      <w:r>
        <w:rPr>
          <w:rFonts w:ascii="Arial" w:hAnsi="Arial" w:cs="Arial"/>
          <w:sz w:val="20"/>
          <w:szCs w:val="20"/>
        </w:rPr>
        <w:t xml:space="preserve"> - </w:t>
      </w:r>
      <w:r w:rsidRPr="0092017D">
        <w:rPr>
          <w:rFonts w:ascii="Arial" w:hAnsi="Arial" w:cs="Arial"/>
          <w:sz w:val="20"/>
          <w:szCs w:val="20"/>
        </w:rPr>
        <w:t>Maritime Environment-friendly TRanspOrt systems;</w:t>
      </w:r>
      <w:r w:rsidRPr="00E90A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 ID</w:t>
      </w:r>
      <w:proofErr w:type="gramStart"/>
      <w:r>
        <w:rPr>
          <w:rFonts w:ascii="Arial" w:hAnsi="Arial" w:cs="Arial"/>
          <w:sz w:val="20"/>
          <w:szCs w:val="20"/>
        </w:rPr>
        <w:t>:10044221</w:t>
      </w:r>
      <w:proofErr w:type="gramEnd"/>
      <w:r>
        <w:rPr>
          <w:rFonts w:ascii="Arial" w:hAnsi="Arial" w:cs="Arial"/>
          <w:sz w:val="20"/>
          <w:szCs w:val="20"/>
        </w:rPr>
        <w:t>;</w:t>
      </w:r>
      <w:r w:rsidRPr="0092017D">
        <w:rPr>
          <w:rFonts w:ascii="Arial" w:hAnsi="Arial" w:cs="Arial"/>
          <w:sz w:val="20"/>
          <w:szCs w:val="20"/>
        </w:rPr>
        <w:t xml:space="preserve"> Interreg V A Italy Croatia Cross-border Cooperation Programme 2014</w:t>
      </w:r>
      <w:r>
        <w:rPr>
          <w:rFonts w:ascii="Arial" w:hAnsi="Arial" w:cs="Arial"/>
          <w:sz w:val="20"/>
          <w:szCs w:val="20"/>
        </w:rPr>
        <w:t>-2020. G</w:t>
      </w:r>
      <w:r w:rsidRPr="0092017D">
        <w:rPr>
          <w:rFonts w:ascii="Arial" w:hAnsi="Arial" w:cs="Arial"/>
          <w:sz w:val="20"/>
          <w:szCs w:val="20"/>
        </w:rPr>
        <w:t>lavni</w:t>
      </w:r>
      <w:r>
        <w:rPr>
          <w:rFonts w:ascii="Arial" w:hAnsi="Arial" w:cs="Arial"/>
          <w:sz w:val="20"/>
          <w:szCs w:val="20"/>
        </w:rPr>
        <w:t xml:space="preserve"> partner: University of Trieste.</w:t>
      </w:r>
      <w:r w:rsidRPr="009201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92017D">
        <w:rPr>
          <w:rFonts w:ascii="Arial" w:hAnsi="Arial" w:cs="Arial"/>
          <w:sz w:val="20"/>
          <w:szCs w:val="20"/>
        </w:rPr>
        <w:t>artneri: Tehnički fakultet Rije</w:t>
      </w:r>
      <w:r>
        <w:rPr>
          <w:rFonts w:ascii="Arial" w:hAnsi="Arial" w:cs="Arial"/>
          <w:sz w:val="20"/>
          <w:szCs w:val="20"/>
        </w:rPr>
        <w:t xml:space="preserve">ka i Pomorski fakultet Rijeka. Trajanje: 01.01.2019.-31.12.2021. </w:t>
      </w:r>
      <w:r w:rsidRPr="00D210F4">
        <w:rPr>
          <w:rFonts w:ascii="Arial" w:hAnsi="Arial" w:cs="Arial"/>
          <w:sz w:val="20"/>
          <w:szCs w:val="20"/>
        </w:rPr>
        <w:t xml:space="preserve">METRO projekt ima za cilj poboljšati kvalitetu, sigurnost i održivost okoliša u pomorskom prijevozu promovirajući multimodalnost i ekološko-inovativna rješenja za pomorski i obalni prijevoz u programskom području Italije i Hrvatske. Kroz sinergiju između sveučilišta, tvrtki i javnih tijela koja djeluju u području pomorstva i brodogradnje stvoriti </w:t>
      </w:r>
      <w:proofErr w:type="gramStart"/>
      <w:r w:rsidRPr="00D210F4">
        <w:rPr>
          <w:rFonts w:ascii="Arial" w:hAnsi="Arial" w:cs="Arial"/>
          <w:sz w:val="20"/>
          <w:szCs w:val="20"/>
        </w:rPr>
        <w:t>će</w:t>
      </w:r>
      <w:proofErr w:type="gramEnd"/>
      <w:r w:rsidRPr="00D210F4">
        <w:rPr>
          <w:rFonts w:ascii="Arial" w:hAnsi="Arial" w:cs="Arial"/>
          <w:sz w:val="20"/>
          <w:szCs w:val="20"/>
        </w:rPr>
        <w:t xml:space="preserve"> se mreža institucija s različitim stručnim mogućnostima koje pokrivaju sva područja od istraživanja i razvoja na području inženjerstva i tehnologije pomorskih objekata, pogonskih sustava, projekta broda pa sve do koordinacije i planiranja lučkih aktivnosti.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Pr="005C42F4" w:rsidRDefault="00AE1E94" w:rsidP="00AE1E94">
      <w:pPr>
        <w:pStyle w:val="PlainTex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9EA">
        <w:rPr>
          <w:rFonts w:ascii="Arial" w:hAnsi="Arial" w:cs="Arial"/>
          <w:b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</w:t>
      </w:r>
      <w:r w:rsidRPr="00FE516E">
        <w:rPr>
          <w:rFonts w:ascii="Arial" w:hAnsi="Arial" w:cs="Arial"/>
          <w:b/>
          <w:sz w:val="20"/>
          <w:szCs w:val="20"/>
        </w:rPr>
        <w:t>Erasmus+ Sustrainable</w:t>
      </w:r>
      <w:r>
        <w:rPr>
          <w:rFonts w:ascii="Arial" w:hAnsi="Arial" w:cs="Arial"/>
          <w:sz w:val="20"/>
          <w:szCs w:val="20"/>
        </w:rPr>
        <w:t xml:space="preserve"> - </w:t>
      </w:r>
      <w:r w:rsidRPr="00727C8B">
        <w:rPr>
          <w:rFonts w:ascii="Arial" w:hAnsi="Arial" w:cs="Arial"/>
          <w:sz w:val="20"/>
          <w:szCs w:val="20"/>
        </w:rPr>
        <w:t xml:space="preserve">Promoting Sustainability as a Fundamental Driver in Software Development Training and </w:t>
      </w:r>
      <w:r>
        <w:rPr>
          <w:rFonts w:ascii="Arial" w:hAnsi="Arial" w:cs="Arial"/>
          <w:sz w:val="20"/>
          <w:szCs w:val="20"/>
        </w:rPr>
        <w:t>Education;</w:t>
      </w:r>
      <w:r w:rsidRPr="003F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projekt br. 2020-1-PT01-KA203-078646. Glavni partner: Universidade de Coimbra, Coimbra, Portugal (uplaćuje sredstva Sveučilištu u Rijeci). Trajanje: 01.09.2020.-31.08.2023. </w:t>
      </w:r>
      <w:r w:rsidRPr="005C42F4">
        <w:rPr>
          <w:rFonts w:ascii="Arial" w:hAnsi="Arial" w:cs="Arial"/>
          <w:sz w:val="20"/>
          <w:szCs w:val="20"/>
        </w:rPr>
        <w:t xml:space="preserve">Ovaj projekt ima za cilj promicanje obrazovanja sljedeće generacije softverskih inženjera koji </w:t>
      </w:r>
      <w:proofErr w:type="gramStart"/>
      <w:r w:rsidRPr="005C42F4">
        <w:rPr>
          <w:rFonts w:ascii="Arial" w:hAnsi="Arial" w:cs="Arial"/>
          <w:sz w:val="20"/>
          <w:szCs w:val="20"/>
        </w:rPr>
        <w:t>će</w:t>
      </w:r>
      <w:proofErr w:type="gramEnd"/>
      <w:r w:rsidRPr="005C42F4">
        <w:rPr>
          <w:rFonts w:ascii="Arial" w:hAnsi="Arial" w:cs="Arial"/>
          <w:sz w:val="20"/>
          <w:szCs w:val="20"/>
        </w:rPr>
        <w:t xml:space="preserve"> uzeti u obzir održivost u svim aspektima procesa softverskog inženjeringa: SusTrainable znači Obuka za Održivost. Našim budućim softverskim inženjerima želimo pružiti bitne vještine za razvoj softvera koji je ne samo funkcionalno ispravan, već i jednostavan za održavanje i razvoj, koji je izdržljiv, ima </w:t>
      </w:r>
      <w:proofErr w:type="gramStart"/>
      <w:r w:rsidRPr="005C42F4">
        <w:rPr>
          <w:rFonts w:ascii="Arial" w:hAnsi="Arial" w:cs="Arial"/>
          <w:sz w:val="20"/>
          <w:szCs w:val="20"/>
        </w:rPr>
        <w:t>mali</w:t>
      </w:r>
      <w:proofErr w:type="gramEnd"/>
      <w:r w:rsidRPr="005C42F4">
        <w:rPr>
          <w:rFonts w:ascii="Arial" w:hAnsi="Arial" w:cs="Arial"/>
          <w:sz w:val="20"/>
          <w:szCs w:val="20"/>
        </w:rPr>
        <w:t xml:space="preserve"> utjecaj i koristi hardver na energetski najučinkovitiji način.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C7026">
        <w:rPr>
          <w:rFonts w:ascii="Arial" w:hAnsi="Arial" w:cs="Arial"/>
          <w:b/>
          <w:sz w:val="20"/>
          <w:szCs w:val="20"/>
        </w:rPr>
        <w:t xml:space="preserve">- </w:t>
      </w:r>
      <w:proofErr w:type="gramStart"/>
      <w:r w:rsidRPr="001C7026">
        <w:rPr>
          <w:rFonts w:ascii="Arial" w:hAnsi="Arial" w:cs="Arial"/>
          <w:b/>
          <w:sz w:val="20"/>
          <w:szCs w:val="20"/>
        </w:rPr>
        <w:t>izvor</w:t>
      </w:r>
      <w:proofErr w:type="gramEnd"/>
      <w:r w:rsidRPr="001C7026">
        <w:rPr>
          <w:rFonts w:ascii="Arial" w:hAnsi="Arial" w:cs="Arial"/>
          <w:b/>
          <w:sz w:val="20"/>
          <w:szCs w:val="20"/>
        </w:rPr>
        <w:t xml:space="preserve"> 52</w:t>
      </w:r>
      <w:r w:rsidRPr="009E5C96">
        <w:rPr>
          <w:rFonts w:ascii="Arial" w:hAnsi="Arial" w:cs="Arial"/>
          <w:sz w:val="20"/>
          <w:szCs w:val="20"/>
        </w:rPr>
        <w:t xml:space="preserve"> Ostale pomoći i darovnice - financijski plan prikazuje</w:t>
      </w:r>
      <w:r>
        <w:rPr>
          <w:rFonts w:ascii="Arial" w:hAnsi="Arial" w:cs="Arial"/>
          <w:sz w:val="20"/>
          <w:szCs w:val="20"/>
        </w:rPr>
        <w:t xml:space="preserve"> utrošena</w:t>
      </w:r>
      <w:r w:rsidRPr="009E5C96">
        <w:rPr>
          <w:rFonts w:ascii="Arial" w:hAnsi="Arial" w:cs="Arial"/>
          <w:sz w:val="20"/>
          <w:szCs w:val="20"/>
        </w:rPr>
        <w:t xml:space="preserve"> sredstva </w:t>
      </w:r>
      <w:r>
        <w:rPr>
          <w:rFonts w:ascii="Arial" w:hAnsi="Arial" w:cs="Arial"/>
          <w:sz w:val="20"/>
          <w:szCs w:val="20"/>
        </w:rPr>
        <w:t>koja će Fakultet ostvariti prijenosom sredstava između proračunskih korisnika istog proračuna kao partner na projektima: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F3B27">
        <w:rPr>
          <w:rFonts w:ascii="Arial" w:hAnsi="Arial" w:cs="Arial"/>
          <w:b/>
          <w:sz w:val="20"/>
          <w:szCs w:val="20"/>
        </w:rPr>
        <w:t>1)</w:t>
      </w:r>
      <w:r w:rsidRPr="003F3B27">
        <w:rPr>
          <w:rFonts w:ascii="Arial" w:hAnsi="Arial" w:cs="Arial"/>
          <w:sz w:val="20"/>
          <w:szCs w:val="20"/>
        </w:rPr>
        <w:t xml:space="preserve"> </w:t>
      </w:r>
      <w:r w:rsidRPr="003F3B27">
        <w:rPr>
          <w:rFonts w:ascii="Arial" w:hAnsi="Arial" w:cs="Arial"/>
          <w:b/>
          <w:sz w:val="20"/>
          <w:szCs w:val="20"/>
        </w:rPr>
        <w:t xml:space="preserve">HKO-Dig IT </w:t>
      </w:r>
      <w:r w:rsidRPr="003F3B27">
        <w:rPr>
          <w:rFonts w:ascii="Arial" w:hAnsi="Arial" w:cs="Arial"/>
          <w:sz w:val="20"/>
          <w:szCs w:val="20"/>
        </w:rPr>
        <w:t xml:space="preserve">- Izrada standarda zanimanja i standarda kvalifikacija u djelatnostima računarstva (UP.03.1.1.03.0061), provedba HKO-a </w:t>
      </w:r>
      <w:proofErr w:type="gramStart"/>
      <w:r w:rsidRPr="003F3B27">
        <w:rPr>
          <w:rFonts w:ascii="Arial" w:hAnsi="Arial" w:cs="Arial"/>
          <w:sz w:val="20"/>
          <w:szCs w:val="20"/>
        </w:rPr>
        <w:t>na</w:t>
      </w:r>
      <w:proofErr w:type="gramEnd"/>
      <w:r w:rsidRPr="003F3B27">
        <w:rPr>
          <w:rFonts w:ascii="Arial" w:hAnsi="Arial" w:cs="Arial"/>
          <w:sz w:val="20"/>
          <w:szCs w:val="20"/>
        </w:rPr>
        <w:t xml:space="preserve"> razini visokog obrazovanja u okviru Operativnog programa Učinkoviti ljudski potencijali 2014.-2020. Glavni partner: Sveučilište u Splitu, Fakultet elektrotehnike, strojarstva i brodogradnje, Split. Trajanje: 22.03.2019</w:t>
      </w:r>
      <w:proofErr w:type="gramStart"/>
      <w:r w:rsidRPr="003F3B27">
        <w:rPr>
          <w:rFonts w:ascii="Arial" w:hAnsi="Arial" w:cs="Arial"/>
          <w:sz w:val="20"/>
          <w:szCs w:val="20"/>
        </w:rPr>
        <w:t>.-</w:t>
      </w:r>
      <w:proofErr w:type="gramEnd"/>
      <w:r w:rsidRPr="003F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22.03.2022</w:t>
      </w:r>
      <w:r w:rsidRPr="003F3B27">
        <w:rPr>
          <w:rFonts w:ascii="Arial" w:hAnsi="Arial" w:cs="Arial"/>
          <w:sz w:val="20"/>
          <w:szCs w:val="20"/>
        </w:rPr>
        <w:t xml:space="preserve">. Svrha projekta je unaprijediti relevantnosti nastavne djelatnosti fakulteta i odjela koji izvode studijske programe iz područja računarstva, putem izrade standarda zanimanja i kvalifikacija za ključna područja računarstva </w:t>
      </w:r>
      <w:proofErr w:type="gramStart"/>
      <w:r w:rsidRPr="003F3B27">
        <w:rPr>
          <w:rFonts w:ascii="Arial" w:hAnsi="Arial" w:cs="Arial"/>
          <w:sz w:val="20"/>
          <w:szCs w:val="20"/>
        </w:rPr>
        <w:t>te</w:t>
      </w:r>
      <w:proofErr w:type="gramEnd"/>
      <w:r w:rsidRPr="003F3B27">
        <w:rPr>
          <w:rFonts w:ascii="Arial" w:hAnsi="Arial" w:cs="Arial"/>
          <w:sz w:val="20"/>
          <w:szCs w:val="20"/>
        </w:rPr>
        <w:t xml:space="preserve"> unaprjeđenja više prediplomskih i diplomskih sveučilišnih studijskih programa iz područja računarstva. Dodatni ciljevi odnose se </w:t>
      </w:r>
      <w:proofErr w:type="gramStart"/>
      <w:r w:rsidRPr="003F3B27">
        <w:rPr>
          <w:rFonts w:ascii="Arial" w:hAnsi="Arial" w:cs="Arial"/>
          <w:sz w:val="20"/>
          <w:szCs w:val="20"/>
        </w:rPr>
        <w:t>na</w:t>
      </w:r>
      <w:proofErr w:type="gramEnd"/>
      <w:r w:rsidRPr="003F3B27">
        <w:rPr>
          <w:rFonts w:ascii="Arial" w:hAnsi="Arial" w:cs="Arial"/>
          <w:sz w:val="20"/>
          <w:szCs w:val="20"/>
        </w:rPr>
        <w:t xml:space="preserve"> unaprjeđenje postupaka izrade, evaluacije i izmjene studijskih programa kroz razvoj odgovarajućih alata te unaprjeđenje propisa sustava kvalitete i jačanje nastavničkih kompetencija visokoobrazovnih djelatnika.</w:t>
      </w:r>
    </w:p>
    <w:p w:rsidR="00AE1E94" w:rsidRPr="003F3B27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9EA">
        <w:rPr>
          <w:rFonts w:ascii="Arial" w:hAnsi="Arial" w:cs="Arial"/>
          <w:b/>
          <w:sz w:val="20"/>
          <w:szCs w:val="20"/>
        </w:rPr>
        <w:t>2)</w:t>
      </w:r>
      <w:r w:rsidRPr="00730B66">
        <w:rPr>
          <w:rFonts w:ascii="Arial" w:hAnsi="Arial" w:cs="Arial"/>
          <w:sz w:val="20"/>
          <w:szCs w:val="20"/>
        </w:rPr>
        <w:t xml:space="preserve"> </w:t>
      </w:r>
      <w:r w:rsidRPr="003F3B27">
        <w:rPr>
          <w:rFonts w:ascii="Arial" w:hAnsi="Arial" w:cs="Arial"/>
          <w:b/>
          <w:sz w:val="20"/>
          <w:szCs w:val="20"/>
        </w:rPr>
        <w:t>HKO-ELE</w:t>
      </w:r>
      <w:r w:rsidRPr="00730B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30B66">
        <w:rPr>
          <w:rFonts w:ascii="Arial" w:hAnsi="Arial" w:cs="Arial"/>
          <w:sz w:val="20"/>
          <w:szCs w:val="20"/>
        </w:rPr>
        <w:t>Primjena Hrvatskog kvalifikacijskog okvira za sveučilišne studijske programe u području elektrotehnike (UP.03.1.1.03.0030)</w:t>
      </w:r>
      <w:r>
        <w:rPr>
          <w:rFonts w:ascii="Arial" w:hAnsi="Arial" w:cs="Arial"/>
          <w:sz w:val="20"/>
          <w:szCs w:val="20"/>
        </w:rPr>
        <w:t xml:space="preserve">, provedba HKO-a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razini visokog obrazovanja u okviru Operativnog </w:t>
      </w:r>
      <w:r>
        <w:rPr>
          <w:rFonts w:ascii="Arial" w:hAnsi="Arial" w:cs="Arial"/>
          <w:sz w:val="20"/>
          <w:szCs w:val="20"/>
        </w:rPr>
        <w:lastRenderedPageBreak/>
        <w:t>programa Učinkoviti ljudski potencijali 2014.-2020. Glavni partner: Sveučilište Josipa Jurja Strossmayera u Osijeku, Fakultet elektrotehnike, računarstva i informacijskih tehnologija Osijek. Trajanje: 22.03.2019</w:t>
      </w:r>
      <w:proofErr w:type="gramStart"/>
      <w:r>
        <w:rPr>
          <w:rFonts w:ascii="Arial" w:hAnsi="Arial" w:cs="Arial"/>
          <w:sz w:val="20"/>
          <w:szCs w:val="20"/>
        </w:rPr>
        <w:t>.-</w:t>
      </w:r>
      <w:proofErr w:type="gramEnd"/>
      <w:r>
        <w:rPr>
          <w:rFonts w:ascii="Arial" w:hAnsi="Arial" w:cs="Arial"/>
          <w:sz w:val="20"/>
          <w:szCs w:val="20"/>
        </w:rPr>
        <w:t xml:space="preserve"> 22.03.2022. O</w:t>
      </w:r>
      <w:r w:rsidRPr="00D210F4">
        <w:rPr>
          <w:rFonts w:ascii="Arial" w:hAnsi="Arial" w:cs="Arial"/>
          <w:sz w:val="20"/>
          <w:szCs w:val="20"/>
        </w:rPr>
        <w:t>vaj projekt će omogućiti izradu revizije struktura postojećih programa u području elektrotehnike i definiranje ishoda učenja koji će biti prilagođeni stalnim i brzim promjenama u</w:t>
      </w:r>
      <w:r>
        <w:rPr>
          <w:rFonts w:ascii="Arial" w:hAnsi="Arial" w:cs="Arial"/>
          <w:sz w:val="20"/>
          <w:szCs w:val="20"/>
        </w:rPr>
        <w:t xml:space="preserve"> sektoru elektrotehnike i ICT-a, k</w:t>
      </w:r>
      <w:r w:rsidRPr="00D210F4">
        <w:rPr>
          <w:rFonts w:ascii="Arial" w:hAnsi="Arial" w:cs="Arial"/>
          <w:sz w:val="20"/>
          <w:szCs w:val="20"/>
        </w:rPr>
        <w:t>ako bismo ujednačili sadržaj i kvalitetu studijskih programa te osigurali njihovu prepoznatljivost na državnoj te europskoj razini</w:t>
      </w:r>
      <w:r>
        <w:rPr>
          <w:rFonts w:ascii="Arial" w:hAnsi="Arial" w:cs="Arial"/>
          <w:sz w:val="20"/>
          <w:szCs w:val="20"/>
        </w:rPr>
        <w:t xml:space="preserve">. </w:t>
      </w:r>
      <w:r w:rsidRPr="00D210F4">
        <w:rPr>
          <w:rFonts w:ascii="Arial" w:hAnsi="Arial" w:cs="Arial"/>
          <w:sz w:val="20"/>
          <w:szCs w:val="20"/>
        </w:rPr>
        <w:t xml:space="preserve">Projektom </w:t>
      </w:r>
      <w:proofErr w:type="gramStart"/>
      <w:r w:rsidRPr="00D210F4">
        <w:rPr>
          <w:rFonts w:ascii="Arial" w:hAnsi="Arial" w:cs="Arial"/>
          <w:sz w:val="20"/>
          <w:szCs w:val="20"/>
        </w:rPr>
        <w:t>će</w:t>
      </w:r>
      <w:proofErr w:type="gramEnd"/>
      <w:r w:rsidRPr="00D210F4">
        <w:rPr>
          <w:rFonts w:ascii="Arial" w:hAnsi="Arial" w:cs="Arial"/>
          <w:sz w:val="20"/>
          <w:szCs w:val="20"/>
        </w:rPr>
        <w:t xml:space="preserve"> se u suradnji s predstavnicima gospodarstvenika i udruga razviti 2 standarda zanimanja, 3 standarda kvalifikacija, definirati ishodi učenja i unaprijediti sadržaj za 14 studijskih programa u području elektrotehnike i ICT-a.</w:t>
      </w:r>
    </w:p>
    <w:p w:rsidR="00AE1E94" w:rsidRPr="00730B66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5259EA"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3F3B27">
        <w:rPr>
          <w:rFonts w:ascii="Arial" w:hAnsi="Arial" w:cs="Arial"/>
          <w:b/>
          <w:sz w:val="20"/>
          <w:szCs w:val="20"/>
        </w:rPr>
        <w:t>DATACROSS</w:t>
      </w:r>
      <w:r>
        <w:rPr>
          <w:rFonts w:ascii="Arial" w:hAnsi="Arial" w:cs="Arial"/>
          <w:sz w:val="20"/>
          <w:szCs w:val="20"/>
        </w:rPr>
        <w:t xml:space="preserve"> – napredne metode i tehnologije u znanosti o podatcima i kooperativnim sustavima (KK.01.1.1.01.0009), program Konkurentnost i kohezija 2014.-2020. Glavni partner: Sveučilište u Zagrebu, Fakultet elektrotehnike i računarstva, Zagreb. Trajanje: 01.11.2017.-31.10.2022. P</w:t>
      </w:r>
      <w:r w:rsidRPr="00D210F4">
        <w:rPr>
          <w:rFonts w:ascii="Arial" w:hAnsi="Arial" w:cs="Arial"/>
          <w:sz w:val="20"/>
          <w:szCs w:val="20"/>
        </w:rPr>
        <w:t xml:space="preserve">rojekt Znanstvenog centra izvrsnosti za znanost o podatcima i kooperativne sustave (ZCI ACROSS-DataScience) koji se bavi istraživačkim problemima razvoja naprednih metoda i tehnologija analize heterogenih podataka </w:t>
      </w:r>
      <w:proofErr w:type="gramStart"/>
      <w:r w:rsidRPr="00D210F4">
        <w:rPr>
          <w:rFonts w:ascii="Arial" w:hAnsi="Arial" w:cs="Arial"/>
          <w:sz w:val="20"/>
          <w:szCs w:val="20"/>
        </w:rPr>
        <w:t>te</w:t>
      </w:r>
      <w:proofErr w:type="gramEnd"/>
      <w:r w:rsidRPr="00D210F4">
        <w:rPr>
          <w:rFonts w:ascii="Arial" w:hAnsi="Arial" w:cs="Arial"/>
          <w:sz w:val="20"/>
          <w:szCs w:val="20"/>
        </w:rPr>
        <w:t xml:space="preserve"> oblikovanja složenih kooperativnih sustava. Ciljevi projekta su provođenje vrhunskih, graničnih istraživanja u područjima znanosti o podatcima i kooperativnim sustavima, jačanje kapaciteta Znanstvenog centra izvrsnosti u područjima znanosti o podatcima i kooperativnim sustavima, povećanje međunarodne vidljivosti i prepoznatljivosti Znanstvenog centra izvrsnosti za znanost o podatcima i kooperativne sustave, povećanje doprinosa razvoju hrvatskoga gospodarstva i društva u cjelini.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5259E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890FA4">
        <w:rPr>
          <w:rFonts w:ascii="Arial" w:hAnsi="Arial" w:cs="Arial"/>
          <w:b/>
          <w:sz w:val="20"/>
          <w:szCs w:val="20"/>
        </w:rPr>
        <w:t>EuroCC</w:t>
      </w:r>
      <w:r>
        <w:rPr>
          <w:rFonts w:ascii="Arial" w:hAnsi="Arial" w:cs="Arial"/>
          <w:sz w:val="20"/>
          <w:szCs w:val="20"/>
        </w:rPr>
        <w:t xml:space="preserve"> - </w:t>
      </w:r>
      <w:r w:rsidRPr="00890FA4">
        <w:rPr>
          <w:rFonts w:ascii="Arial" w:hAnsi="Arial" w:cs="Arial"/>
          <w:sz w:val="20"/>
          <w:szCs w:val="20"/>
        </w:rPr>
        <w:t>National Competence Centres in the framework of EuroHPC</w:t>
      </w:r>
      <w:r>
        <w:rPr>
          <w:rFonts w:ascii="Arial" w:hAnsi="Arial" w:cs="Arial"/>
          <w:sz w:val="20"/>
          <w:szCs w:val="20"/>
        </w:rPr>
        <w:t xml:space="preserve"> </w:t>
      </w:r>
      <w:r w:rsidRPr="00890FA4">
        <w:rPr>
          <w:rFonts w:ascii="Arial" w:hAnsi="Arial" w:cs="Arial"/>
          <w:sz w:val="20"/>
          <w:szCs w:val="20"/>
        </w:rPr>
        <w:t>(broj: 1-64/0-2020)</w:t>
      </w:r>
      <w:r>
        <w:rPr>
          <w:rFonts w:ascii="Arial" w:hAnsi="Arial" w:cs="Arial"/>
          <w:sz w:val="20"/>
          <w:szCs w:val="20"/>
        </w:rPr>
        <w:t xml:space="preserve">, operativni program Obzor 2020. Glavni partner: SRCE - Sveučilišni računski centar Sveučilišta u Zagrebu. Trajanje: 01.09.2020.-31.08.2022. </w:t>
      </w:r>
      <w:r w:rsidRPr="00610275">
        <w:rPr>
          <w:rFonts w:ascii="Arial" w:eastAsia="Times New Roman" w:hAnsi="Arial" w:cs="Arial"/>
          <w:color w:val="1E1E1E"/>
          <w:sz w:val="20"/>
          <w:szCs w:val="20"/>
        </w:rPr>
        <w:t xml:space="preserve">EuroCC aktivnost okupit </w:t>
      </w:r>
      <w:proofErr w:type="gramStart"/>
      <w:r w:rsidRPr="00610275">
        <w:rPr>
          <w:rFonts w:ascii="Arial" w:eastAsia="Times New Roman" w:hAnsi="Arial" w:cs="Arial"/>
          <w:color w:val="1E1E1E"/>
          <w:sz w:val="20"/>
          <w:szCs w:val="20"/>
        </w:rPr>
        <w:t>će</w:t>
      </w:r>
      <w:proofErr w:type="gramEnd"/>
      <w:r w:rsidRPr="00610275">
        <w:rPr>
          <w:rFonts w:ascii="Arial" w:eastAsia="Times New Roman" w:hAnsi="Arial" w:cs="Arial"/>
          <w:color w:val="1E1E1E"/>
          <w:sz w:val="20"/>
          <w:szCs w:val="20"/>
        </w:rPr>
        <w:t xml:space="preserve"> potrebnu stručnost za uspostavljanje mreže nacionalnih centara kompetencija u HPC-u širom Europe u 31 državi članici i pridruženim državama sudionicama, kako bi se pružio širok portfelj usluga prilagođen odgovarajućim nacionalnim potrebama industrije, akademske zajednice i javne uprave.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Također, financijskim planom predviđena su i sredstva koja </w:t>
      </w:r>
      <w:proofErr w:type="gramStart"/>
      <w:r>
        <w:rPr>
          <w:rFonts w:ascii="Arial" w:hAnsi="Arial" w:cs="Arial"/>
          <w:sz w:val="20"/>
          <w:szCs w:val="20"/>
        </w:rPr>
        <w:t>će</w:t>
      </w:r>
      <w:proofErr w:type="gramEnd"/>
      <w:r>
        <w:rPr>
          <w:rFonts w:ascii="Arial" w:hAnsi="Arial" w:cs="Arial"/>
          <w:sz w:val="20"/>
          <w:szCs w:val="20"/>
        </w:rPr>
        <w:t xml:space="preserve"> Fakultet ostvariti prijenosom sredstava između proračunskih korisnika istog proračuna kao prijavitelj projekata: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Pr="00D210F4" w:rsidRDefault="00AE1E94" w:rsidP="00AE1E94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5259E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890FA4">
        <w:rPr>
          <w:rFonts w:ascii="Arial" w:hAnsi="Arial" w:cs="Arial"/>
          <w:b/>
          <w:sz w:val="20"/>
          <w:szCs w:val="20"/>
        </w:rPr>
        <w:t>KLIMOD</w:t>
      </w:r>
      <w:r>
        <w:rPr>
          <w:rFonts w:ascii="Arial" w:hAnsi="Arial" w:cs="Arial"/>
          <w:sz w:val="20"/>
          <w:szCs w:val="20"/>
        </w:rPr>
        <w:t xml:space="preserve"> – Računalni model strujanja, poplavljivanja i širenja onečišćenja u rijekama i obalnim morskim područjima (KK.05.1.1.02.0017), operativni program Konkurentnost i kohezija 2014.-2020.; ostvarivat će prijenose sredstava od Ministarstva gospodarstva i održivog razvoja te pomoći od izvanproračunskih korisnika od Fonda za zaštitu okoliša i energetsku učinkovitost. Projektni partneri: Prirodoslovno-</w:t>
      </w:r>
      <w:r w:rsidRPr="00B33E22">
        <w:rPr>
          <w:rFonts w:ascii="Arial" w:hAnsi="Arial" w:cs="Arial"/>
          <w:sz w:val="20"/>
          <w:szCs w:val="20"/>
        </w:rPr>
        <w:t xml:space="preserve">matematički fakultet </w:t>
      </w:r>
      <w:r>
        <w:rPr>
          <w:rFonts w:ascii="Arial" w:hAnsi="Arial" w:cs="Arial"/>
          <w:sz w:val="20"/>
          <w:szCs w:val="20"/>
        </w:rPr>
        <w:t>Zagreb–</w:t>
      </w:r>
      <w:r w:rsidRPr="00B33E22">
        <w:rPr>
          <w:rFonts w:ascii="Arial" w:hAnsi="Arial" w:cs="Arial"/>
          <w:sz w:val="20"/>
          <w:szCs w:val="20"/>
        </w:rPr>
        <w:t>Geološki odsjek</w:t>
      </w:r>
      <w:r>
        <w:rPr>
          <w:rFonts w:ascii="Arial" w:hAnsi="Arial" w:cs="Arial"/>
          <w:sz w:val="20"/>
          <w:szCs w:val="20"/>
        </w:rPr>
        <w:t xml:space="preserve">, </w:t>
      </w:r>
      <w:r w:rsidRPr="00B33E22">
        <w:rPr>
          <w:rFonts w:ascii="Arial" w:hAnsi="Arial" w:cs="Arial"/>
          <w:sz w:val="20"/>
          <w:szCs w:val="20"/>
        </w:rPr>
        <w:t>Institut Ruđer Bošković</w:t>
      </w:r>
      <w:r>
        <w:rPr>
          <w:rFonts w:ascii="Arial" w:hAnsi="Arial" w:cs="Arial"/>
          <w:sz w:val="20"/>
          <w:szCs w:val="20"/>
        </w:rPr>
        <w:t xml:space="preserve"> Zagreb, </w:t>
      </w:r>
      <w:r w:rsidRPr="00B33E22">
        <w:rPr>
          <w:rFonts w:ascii="Arial" w:hAnsi="Arial" w:cs="Arial"/>
          <w:sz w:val="20"/>
          <w:szCs w:val="20"/>
        </w:rPr>
        <w:t>Medicinski fakultet Rijeka</w:t>
      </w:r>
      <w:r>
        <w:rPr>
          <w:rFonts w:ascii="Arial" w:hAnsi="Arial" w:cs="Arial"/>
          <w:sz w:val="20"/>
          <w:szCs w:val="20"/>
        </w:rPr>
        <w:t xml:space="preserve">, </w:t>
      </w:r>
      <w:r w:rsidRPr="00B33E22">
        <w:rPr>
          <w:rFonts w:ascii="Arial" w:hAnsi="Arial" w:cs="Arial"/>
          <w:sz w:val="20"/>
          <w:szCs w:val="20"/>
        </w:rPr>
        <w:t>Građevinski fakultet Rijeka</w:t>
      </w:r>
      <w:r>
        <w:rPr>
          <w:rFonts w:ascii="Arial" w:hAnsi="Arial" w:cs="Arial"/>
          <w:sz w:val="20"/>
          <w:szCs w:val="20"/>
        </w:rPr>
        <w:t xml:space="preserve">. Trajanje: 18.03.2020.-18.03.2023. </w:t>
      </w:r>
      <w:r w:rsidRPr="00D210F4">
        <w:rPr>
          <w:rFonts w:ascii="Arial" w:hAnsi="Arial" w:cs="Arial"/>
          <w:color w:val="000000"/>
          <w:sz w:val="20"/>
          <w:szCs w:val="20"/>
        </w:rPr>
        <w:t xml:space="preserve">Provedbom projekta provode se primijenjena znanstvena istraživanja i razvija se računalni model za učinkovito modeliranje strujanja i širenja onečišćenja u otvorenim vodotocima i obalnom morskom području, s prihvatom riječnih utoka, bujičnih utoka te industrijskih i kanalizacijskih ispusta u obalno morsko područje, uz istodobni razvoj predikcijskog modela mikrobiološkog onečišćenja baziranog na modelima umjetne inteligencije te integraciju modela širenja onečišćenja mikroplastikom u ukupni model. Računalni model prilagođen je superračunalnom okružju što omogućuje provođenje simulacija visoke rezolucije s ciljem provođenja mjera za ublažavanje posljedica klimatskih promjena </w:t>
      </w:r>
      <w:proofErr w:type="gramStart"/>
      <w:r w:rsidRPr="00D210F4">
        <w:rPr>
          <w:rFonts w:ascii="Arial" w:hAnsi="Arial" w:cs="Arial"/>
          <w:color w:val="000000"/>
          <w:sz w:val="20"/>
          <w:szCs w:val="20"/>
        </w:rPr>
        <w:t>na</w:t>
      </w:r>
      <w:proofErr w:type="gramEnd"/>
      <w:r w:rsidRPr="00D210F4">
        <w:rPr>
          <w:rFonts w:ascii="Arial" w:hAnsi="Arial" w:cs="Arial"/>
          <w:color w:val="000000"/>
          <w:sz w:val="20"/>
          <w:szCs w:val="20"/>
        </w:rPr>
        <w:t xml:space="preserve"> prioritetnim ranjivim i transverzalnim područjima.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Pr="00B33E22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259E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B817E8">
        <w:rPr>
          <w:rFonts w:ascii="Arial" w:hAnsi="Arial" w:cs="Arial"/>
          <w:b/>
          <w:sz w:val="20"/>
          <w:szCs w:val="20"/>
        </w:rPr>
        <w:t>Erasmus+ HiPowerEd</w:t>
      </w:r>
      <w:r>
        <w:rPr>
          <w:rFonts w:ascii="Arial" w:hAnsi="Arial" w:cs="Arial"/>
          <w:sz w:val="20"/>
          <w:szCs w:val="20"/>
        </w:rPr>
        <w:t xml:space="preserve"> - </w:t>
      </w:r>
      <w:r w:rsidRPr="00DA3A71">
        <w:rPr>
          <w:rFonts w:ascii="Arial" w:hAnsi="Arial" w:cs="Arial"/>
          <w:sz w:val="20"/>
          <w:szCs w:val="20"/>
        </w:rPr>
        <w:t>Digital Empowering Trough HPC Education</w:t>
      </w:r>
      <w:r>
        <w:rPr>
          <w:rFonts w:ascii="Arial" w:hAnsi="Arial" w:cs="Arial"/>
          <w:sz w:val="20"/>
          <w:szCs w:val="20"/>
        </w:rPr>
        <w:t xml:space="preserve">; (broj: 2020-1-HR01-KA226-HE-094780), ostvarivat </w:t>
      </w:r>
      <w:proofErr w:type="gramStart"/>
      <w:r>
        <w:rPr>
          <w:rFonts w:ascii="Arial" w:hAnsi="Arial" w:cs="Arial"/>
          <w:sz w:val="20"/>
          <w:szCs w:val="20"/>
        </w:rPr>
        <w:t>će</w:t>
      </w:r>
      <w:proofErr w:type="gramEnd"/>
      <w:r>
        <w:rPr>
          <w:rFonts w:ascii="Arial" w:hAnsi="Arial" w:cs="Arial"/>
          <w:sz w:val="20"/>
          <w:szCs w:val="20"/>
        </w:rPr>
        <w:t xml:space="preserve"> prijenose sredstava od Agencije za mobilnost i programe EU (putem službenog prijavitelja Sveučilišta u Rijeci). Projektni partneri: </w:t>
      </w:r>
      <w:r w:rsidRPr="00B33E22">
        <w:rPr>
          <w:rFonts w:ascii="Arial" w:hAnsi="Arial" w:cs="Arial"/>
          <w:sz w:val="20"/>
          <w:szCs w:val="20"/>
        </w:rPr>
        <w:t xml:space="preserve">Technische </w:t>
      </w:r>
      <w:r>
        <w:rPr>
          <w:rFonts w:ascii="Arial" w:hAnsi="Arial" w:cs="Arial"/>
          <w:sz w:val="20"/>
          <w:szCs w:val="20"/>
        </w:rPr>
        <w:t xml:space="preserve">Universitaet Muenchen, </w:t>
      </w:r>
      <w:r w:rsidRPr="00B33E22">
        <w:rPr>
          <w:rFonts w:ascii="Arial" w:hAnsi="Arial" w:cs="Arial"/>
          <w:sz w:val="20"/>
          <w:szCs w:val="20"/>
        </w:rPr>
        <w:t xml:space="preserve">Danmarks tekniske </w:t>
      </w:r>
      <w:r>
        <w:rPr>
          <w:rFonts w:ascii="Arial" w:hAnsi="Arial" w:cs="Arial"/>
          <w:sz w:val="20"/>
          <w:szCs w:val="20"/>
        </w:rPr>
        <w:t>universitet Copenhagen</w:t>
      </w:r>
      <w:r w:rsidRPr="00B33E2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B33E22">
        <w:rPr>
          <w:rFonts w:ascii="Arial" w:hAnsi="Arial" w:cs="Arial"/>
          <w:sz w:val="20"/>
          <w:szCs w:val="20"/>
        </w:rPr>
        <w:t xml:space="preserve">Universita </w:t>
      </w:r>
      <w:r>
        <w:rPr>
          <w:rFonts w:ascii="Arial" w:hAnsi="Arial" w:cs="Arial"/>
          <w:sz w:val="20"/>
          <w:szCs w:val="20"/>
        </w:rPr>
        <w:t xml:space="preserve">degli studi di Trieste i </w:t>
      </w:r>
      <w:r w:rsidRPr="00B33E22">
        <w:rPr>
          <w:rFonts w:ascii="Arial" w:hAnsi="Arial" w:cs="Arial"/>
          <w:sz w:val="20"/>
          <w:szCs w:val="20"/>
        </w:rPr>
        <w:t xml:space="preserve">Visoko </w:t>
      </w:r>
      <w:r>
        <w:rPr>
          <w:rFonts w:ascii="Arial" w:hAnsi="Arial" w:cs="Arial"/>
          <w:sz w:val="20"/>
          <w:szCs w:val="20"/>
        </w:rPr>
        <w:t>učiliste Algebra Zagreb. Trajanje: 01.03.2021.-28.02.2023. O</w:t>
      </w:r>
      <w:r w:rsidRPr="00B33E22">
        <w:rPr>
          <w:rFonts w:ascii="Arial" w:hAnsi="Arial" w:cs="Arial"/>
          <w:sz w:val="20"/>
          <w:szCs w:val="20"/>
        </w:rPr>
        <w:t xml:space="preserve">snovni cilj ovog projekta </w:t>
      </w:r>
      <w:r>
        <w:rPr>
          <w:rFonts w:ascii="Arial" w:hAnsi="Arial" w:cs="Arial"/>
          <w:sz w:val="20"/>
          <w:szCs w:val="20"/>
        </w:rPr>
        <w:t xml:space="preserve">je </w:t>
      </w:r>
      <w:r w:rsidRPr="00B33E22">
        <w:rPr>
          <w:rFonts w:ascii="Arial" w:hAnsi="Arial" w:cs="Arial"/>
          <w:sz w:val="20"/>
          <w:szCs w:val="20"/>
        </w:rPr>
        <w:t xml:space="preserve">promoviranje </w:t>
      </w:r>
      <w:r>
        <w:rPr>
          <w:rFonts w:ascii="Arial" w:hAnsi="Arial" w:cs="Arial"/>
          <w:sz w:val="20"/>
          <w:szCs w:val="20"/>
        </w:rPr>
        <w:t>superračunalne tehnologije, tj. računalstva</w:t>
      </w:r>
      <w:r w:rsidRPr="00B33E22">
        <w:rPr>
          <w:rFonts w:ascii="Arial" w:hAnsi="Arial" w:cs="Arial"/>
          <w:sz w:val="20"/>
          <w:szCs w:val="20"/>
        </w:rPr>
        <w:t xml:space="preserve"> visokih performanci (HPC) tehnologije, njeno uvođenje u redoviti obrazovni kurikulum i ubrzanje modernizacije i digitalne transformacije obrazovanja, davanje strukture za izvannastavno i cjeloživotno učenje, pomoć u </w:t>
      </w:r>
      <w:r w:rsidRPr="00B33E22">
        <w:rPr>
          <w:rFonts w:ascii="Arial" w:hAnsi="Arial" w:cs="Arial"/>
          <w:sz w:val="20"/>
          <w:szCs w:val="20"/>
        </w:rPr>
        <w:lastRenderedPageBreak/>
        <w:t>uklanjanju financijskih prepreka i prepreke u znanju, priprema strukture i sredstava za podučavanje mladih u svrhu in</w:t>
      </w:r>
      <w:r>
        <w:rPr>
          <w:rFonts w:ascii="Arial" w:hAnsi="Arial" w:cs="Arial"/>
          <w:sz w:val="20"/>
          <w:szCs w:val="20"/>
        </w:rPr>
        <w:t>t</w:t>
      </w:r>
      <w:r w:rsidRPr="00B33E22">
        <w:rPr>
          <w:rFonts w:ascii="Arial" w:hAnsi="Arial" w:cs="Arial"/>
          <w:sz w:val="20"/>
          <w:szCs w:val="20"/>
        </w:rPr>
        <w:t>enzivnijeg korištenja HPC-a, organizirati europsku mrežu institucija kako bi HPC resurse učinili dostupnima širom Europe, promovirati umrežavanje među institucijama i mladim europskim znanstvenicima i profesionalcima te na kraju predstaviti važnost visokotehnološkog internetskog digitalnog obrazovanja tijekom i nakon krize COVID 19.</w:t>
      </w:r>
    </w:p>
    <w:p w:rsidR="00AE1E94" w:rsidRPr="00557CA6" w:rsidRDefault="00AE1E94" w:rsidP="00AE1E94">
      <w:pPr>
        <w:pStyle w:val="ListParagraph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AE1E94" w:rsidRDefault="00AE1E94" w:rsidP="00AE1E9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Skladno Uputi za izradu prijedloga financijskog plana razdjela 080-Ministarstva znanosti i obrazovanja za razdoblje 2022.-2024. </w:t>
      </w:r>
      <w:proofErr w:type="gramStart"/>
      <w:r>
        <w:rPr>
          <w:rFonts w:ascii="Arial" w:hAnsi="Arial" w:cs="Arial"/>
          <w:sz w:val="20"/>
          <w:szCs w:val="20"/>
        </w:rPr>
        <w:t>fakultet</w:t>
      </w:r>
      <w:proofErr w:type="gramEnd"/>
      <w:r>
        <w:rPr>
          <w:rFonts w:ascii="Arial" w:hAnsi="Arial" w:cs="Arial"/>
          <w:sz w:val="20"/>
          <w:szCs w:val="20"/>
        </w:rPr>
        <w:t xml:space="preserve"> je dobio pisane obavijesti partnera u provedbi projekata (FESB Split, FERIT Osijek, Ministarstvo znanosti i obrazovanja za FER Zagreb, Ministarstvo gospodarstva i održivog razvoja, SRCE Zagreb), o iznosu planiranih prijenosa sredstava u okviru podskupine 369/639 temeljem kojih je planirao prihode izvora 52 na skupini 639.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A3325">
        <w:rPr>
          <w:rFonts w:ascii="Arial" w:hAnsi="Arial" w:cs="Arial"/>
          <w:b/>
          <w:sz w:val="20"/>
          <w:szCs w:val="20"/>
        </w:rPr>
        <w:t xml:space="preserve">– </w:t>
      </w:r>
      <w:proofErr w:type="gramStart"/>
      <w:r w:rsidRPr="00AA3325">
        <w:rPr>
          <w:rFonts w:ascii="Arial" w:hAnsi="Arial" w:cs="Arial"/>
          <w:b/>
          <w:sz w:val="20"/>
          <w:szCs w:val="20"/>
        </w:rPr>
        <w:t>izvor</w:t>
      </w:r>
      <w:proofErr w:type="gramEnd"/>
      <w:r w:rsidRPr="00AA3325">
        <w:rPr>
          <w:rFonts w:ascii="Arial" w:hAnsi="Arial" w:cs="Arial"/>
          <w:b/>
          <w:sz w:val="20"/>
          <w:szCs w:val="20"/>
        </w:rPr>
        <w:t xml:space="preserve"> 61</w:t>
      </w:r>
      <w:r w:rsidRPr="00AA3325">
        <w:rPr>
          <w:rFonts w:ascii="Arial" w:hAnsi="Arial" w:cs="Arial"/>
          <w:sz w:val="20"/>
          <w:szCs w:val="20"/>
        </w:rPr>
        <w:t xml:space="preserve"> Donacije - financijski plan prikazuje utrošena sredstva koja će Fakultet ostvariti prijenosom </w:t>
      </w:r>
      <w:r>
        <w:rPr>
          <w:rFonts w:ascii="Arial" w:hAnsi="Arial" w:cs="Arial"/>
          <w:sz w:val="20"/>
          <w:szCs w:val="20"/>
        </w:rPr>
        <w:t xml:space="preserve">od subjekata </w:t>
      </w:r>
      <w:r w:rsidRPr="00AA3325">
        <w:rPr>
          <w:rFonts w:ascii="Arial" w:hAnsi="Arial" w:cs="Arial"/>
          <w:sz w:val="20"/>
          <w:szCs w:val="20"/>
        </w:rPr>
        <w:t>izvan</w:t>
      </w:r>
      <w:r>
        <w:rPr>
          <w:rFonts w:ascii="Arial" w:hAnsi="Arial" w:cs="Arial"/>
          <w:sz w:val="20"/>
          <w:szCs w:val="20"/>
        </w:rPr>
        <w:t xml:space="preserve"> općeg proračuna (</w:t>
      </w:r>
      <w:r w:rsidRPr="00AA3325">
        <w:rPr>
          <w:rFonts w:ascii="Arial" w:hAnsi="Arial" w:cs="Arial"/>
          <w:sz w:val="20"/>
          <w:szCs w:val="20"/>
        </w:rPr>
        <w:t>od trgovačkih društava</w:t>
      </w:r>
      <w:r>
        <w:rPr>
          <w:rFonts w:ascii="Arial" w:hAnsi="Arial" w:cs="Arial"/>
          <w:sz w:val="20"/>
          <w:szCs w:val="20"/>
        </w:rPr>
        <w:t>),</w:t>
      </w:r>
      <w:r w:rsidRPr="00AA3325">
        <w:rPr>
          <w:rFonts w:ascii="Arial" w:hAnsi="Arial" w:cs="Arial"/>
          <w:sz w:val="20"/>
          <w:szCs w:val="20"/>
        </w:rPr>
        <w:t xml:space="preserve"> kao partner na IRI-2 projektima: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9EA"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Pr="0008505F">
        <w:rPr>
          <w:rFonts w:ascii="Arial" w:hAnsi="Arial" w:cs="Arial"/>
          <w:b/>
          <w:sz w:val="20"/>
          <w:szCs w:val="20"/>
        </w:rPr>
        <w:t>IRI-2 Razvoj ekoloških proizvodnih procesa i novih proizvoda visoke kvalitete aktivnostima istraživanja i razvoja</w:t>
      </w:r>
      <w:r>
        <w:rPr>
          <w:rFonts w:ascii="Arial" w:hAnsi="Arial" w:cs="Arial"/>
          <w:sz w:val="20"/>
          <w:szCs w:val="20"/>
        </w:rPr>
        <w:t xml:space="preserve">; KK.01.2.1.02.0039; operativni program Konkurentnost i kohezija 2014.-2020. Glavni partner: Feroplast d.o.o. Buje. Trajanje: 17.08.2020.-17.08.2023. Ovaj projekt provodi </w:t>
      </w:r>
      <w:r w:rsidRPr="00AE39C4">
        <w:rPr>
          <w:rFonts w:ascii="Arial" w:hAnsi="Arial" w:cs="Arial"/>
          <w:sz w:val="20"/>
          <w:szCs w:val="20"/>
        </w:rPr>
        <w:t xml:space="preserve">Feroplast d.o.o. u partnerstvu </w:t>
      </w:r>
      <w:proofErr w:type="gramStart"/>
      <w:r w:rsidRPr="00AE39C4">
        <w:rPr>
          <w:rFonts w:ascii="Arial" w:hAnsi="Arial" w:cs="Arial"/>
          <w:sz w:val="20"/>
          <w:szCs w:val="20"/>
        </w:rPr>
        <w:t>sa</w:t>
      </w:r>
      <w:proofErr w:type="gramEnd"/>
      <w:r w:rsidRPr="00AE39C4">
        <w:rPr>
          <w:rFonts w:ascii="Arial" w:hAnsi="Arial" w:cs="Arial"/>
          <w:sz w:val="20"/>
          <w:szCs w:val="20"/>
        </w:rPr>
        <w:t xml:space="preserve"> Sveučilištem u Rijeci – Tehnički fakultet</w:t>
      </w:r>
      <w:r>
        <w:rPr>
          <w:rFonts w:ascii="Arial" w:hAnsi="Arial" w:cs="Arial"/>
          <w:sz w:val="20"/>
          <w:szCs w:val="20"/>
        </w:rPr>
        <w:t xml:space="preserve">. </w:t>
      </w:r>
      <w:r w:rsidRPr="00AE39C4">
        <w:rPr>
          <w:rFonts w:ascii="Arial" w:hAnsi="Arial" w:cs="Arial"/>
          <w:sz w:val="20"/>
          <w:szCs w:val="20"/>
        </w:rPr>
        <w:t xml:space="preserve">Svrha projekta je povećati konkurentnost proizvodnje u Republici Hrvatskoj primjenom naprednih tehnologija, aktivnostima istraživanja i razvoja i uspostavom visokih standarda ekološke prihvatljivosti proizvodnje. Predmet projekta jest istraživanje koje </w:t>
      </w:r>
      <w:proofErr w:type="gramStart"/>
      <w:r w:rsidRPr="00AE39C4">
        <w:rPr>
          <w:rFonts w:ascii="Arial" w:hAnsi="Arial" w:cs="Arial"/>
          <w:sz w:val="20"/>
          <w:szCs w:val="20"/>
        </w:rPr>
        <w:t>će</w:t>
      </w:r>
      <w:proofErr w:type="gramEnd"/>
      <w:r w:rsidRPr="00AE39C4">
        <w:rPr>
          <w:rFonts w:ascii="Arial" w:hAnsi="Arial" w:cs="Arial"/>
          <w:sz w:val="20"/>
          <w:szCs w:val="20"/>
        </w:rPr>
        <w:t xml:space="preserve"> rezultirati spoznajama kojim će biti moguće značajno unaprijediti proizvodni proces kako bi se ostvarili ciljevi usmjereni na ekološku prihvatljivost proizvodnje: produljenje životnog vijeka proizvoda, smanjenje potrošnje energije i emisije CO</w:t>
      </w:r>
      <w:r w:rsidRPr="00AE39C4">
        <w:rPr>
          <w:rFonts w:ascii="Cambria Math" w:hAnsi="Cambria Math" w:cs="Cambria Math"/>
          <w:sz w:val="20"/>
          <w:szCs w:val="20"/>
        </w:rPr>
        <w:t>₂</w:t>
      </w:r>
      <w:r w:rsidRPr="00AE39C4">
        <w:rPr>
          <w:rFonts w:ascii="Arial" w:hAnsi="Arial" w:cs="Arial"/>
          <w:sz w:val="20"/>
          <w:szCs w:val="20"/>
        </w:rPr>
        <w:t>, smanjenje potrošnje vode u proizvodnom procesu, smanjenje količine otpadnih voda razvojem nove proizvodne tehnologije.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9EA"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 w:rsidRPr="0008505F">
        <w:rPr>
          <w:rFonts w:ascii="Arial" w:hAnsi="Arial" w:cs="Arial"/>
          <w:b/>
          <w:sz w:val="20"/>
          <w:szCs w:val="20"/>
        </w:rPr>
        <w:t>IRI-2 ABsistemDCiCloud</w:t>
      </w:r>
      <w:r>
        <w:rPr>
          <w:rFonts w:ascii="Arial" w:hAnsi="Arial" w:cs="Arial"/>
          <w:sz w:val="20"/>
          <w:szCs w:val="20"/>
        </w:rPr>
        <w:t xml:space="preserve">; KK.01.2.1.02.0179; operativni program Konkurentnost i kohezija 2014.-2020. Glavni partner: Alarm Automatika d.o.o. Rijeka. Trajanje: 17.08.2020.-17.08.2023. </w:t>
      </w:r>
      <w:r w:rsidRPr="00D92B88">
        <w:rPr>
          <w:rFonts w:ascii="Arial" w:hAnsi="Arial" w:cs="Arial"/>
          <w:sz w:val="20"/>
          <w:szCs w:val="20"/>
        </w:rPr>
        <w:t xml:space="preserve">Cilj projekta je razvoj softvera za centralizaciju i integraciju tehničke zaštite koji </w:t>
      </w:r>
      <w:proofErr w:type="gramStart"/>
      <w:r w:rsidRPr="00D92B88">
        <w:rPr>
          <w:rFonts w:ascii="Arial" w:hAnsi="Arial" w:cs="Arial"/>
          <w:sz w:val="20"/>
          <w:szCs w:val="20"/>
        </w:rPr>
        <w:t>će</w:t>
      </w:r>
      <w:proofErr w:type="gramEnd"/>
      <w:r w:rsidRPr="00D92B88">
        <w:rPr>
          <w:rFonts w:ascii="Arial" w:hAnsi="Arial" w:cs="Arial"/>
          <w:sz w:val="20"/>
          <w:szCs w:val="20"/>
        </w:rPr>
        <w:t xml:space="preserve"> omogućavati nadzor i upravljanje svim integriranim sustavima putem jedinstvenog sučelja. Sustav </w:t>
      </w:r>
      <w:proofErr w:type="gramStart"/>
      <w:r w:rsidRPr="00D92B88">
        <w:rPr>
          <w:rFonts w:ascii="Arial" w:hAnsi="Arial" w:cs="Arial"/>
          <w:sz w:val="20"/>
          <w:szCs w:val="20"/>
        </w:rPr>
        <w:t>će</w:t>
      </w:r>
      <w:proofErr w:type="gramEnd"/>
      <w:r w:rsidRPr="00D92B88">
        <w:rPr>
          <w:rFonts w:ascii="Arial" w:hAnsi="Arial" w:cs="Arial"/>
          <w:sz w:val="20"/>
          <w:szCs w:val="20"/>
        </w:rPr>
        <w:t xml:space="preserve"> se najčešće ugrađivati u veće i kompleksnije objekte trgovinskog, financijskog, industrijskog, hotelskog i poslovnog sektora. Provedbom</w:t>
      </w:r>
      <w:r>
        <w:rPr>
          <w:rFonts w:ascii="Arial" w:hAnsi="Arial" w:cs="Arial"/>
          <w:sz w:val="20"/>
          <w:szCs w:val="20"/>
        </w:rPr>
        <w:t xml:space="preserve"> predviđenih aktivnosti kreirat</w:t>
      </w:r>
      <w:r w:rsidRPr="00D92B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92B88">
        <w:rPr>
          <w:rFonts w:ascii="Arial" w:hAnsi="Arial" w:cs="Arial"/>
          <w:sz w:val="20"/>
          <w:szCs w:val="20"/>
        </w:rPr>
        <w:t>će</w:t>
      </w:r>
      <w:proofErr w:type="gramEnd"/>
      <w:r w:rsidRPr="00D92B88">
        <w:rPr>
          <w:rFonts w:ascii="Arial" w:hAnsi="Arial" w:cs="Arial"/>
          <w:sz w:val="20"/>
          <w:szCs w:val="20"/>
        </w:rPr>
        <w:t xml:space="preserve"> se inovativni, višenamjenski i višefunkcionalni proizvod koji će osim tehničke zaštite objekta (video nadzor, protuprovalna zaštita, vatrodojavni alarm itd.)</w:t>
      </w:r>
      <w:r>
        <w:rPr>
          <w:rFonts w:ascii="Arial" w:hAnsi="Arial" w:cs="Arial"/>
          <w:sz w:val="20"/>
          <w:szCs w:val="20"/>
        </w:rPr>
        <w:t>,</w:t>
      </w:r>
      <w:r w:rsidRPr="00D92B88">
        <w:rPr>
          <w:rFonts w:ascii="Arial" w:hAnsi="Arial" w:cs="Arial"/>
          <w:sz w:val="20"/>
          <w:szCs w:val="20"/>
        </w:rPr>
        <w:t xml:space="preserve"> pružati i druge funkcionalnosti iz područja povećanja energetske učinkovitosti objekata.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59EA"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08505F">
        <w:rPr>
          <w:rFonts w:ascii="Arial" w:hAnsi="Arial" w:cs="Arial"/>
          <w:b/>
          <w:sz w:val="20"/>
          <w:szCs w:val="20"/>
        </w:rPr>
        <w:t>IRI-2 Adria Smart Room</w:t>
      </w:r>
      <w:r>
        <w:rPr>
          <w:rFonts w:ascii="Arial" w:hAnsi="Arial" w:cs="Arial"/>
          <w:sz w:val="20"/>
          <w:szCs w:val="20"/>
        </w:rPr>
        <w:t xml:space="preserve">; </w:t>
      </w:r>
      <w:r w:rsidRPr="007F14DA">
        <w:rPr>
          <w:rFonts w:ascii="Arial" w:hAnsi="Arial" w:cs="Arial"/>
          <w:sz w:val="20"/>
          <w:szCs w:val="20"/>
        </w:rPr>
        <w:t>KK.01.2.1.02.0303</w:t>
      </w:r>
      <w:r>
        <w:rPr>
          <w:rFonts w:ascii="Arial" w:hAnsi="Arial" w:cs="Arial"/>
          <w:sz w:val="20"/>
          <w:szCs w:val="20"/>
        </w:rPr>
        <w:t>; operativni program Konkurentnost i kohezija 2014.-2020. (</w:t>
      </w:r>
      <w:r w:rsidRPr="007F14DA">
        <w:rPr>
          <w:rFonts w:ascii="Arial" w:hAnsi="Arial" w:cs="Arial"/>
          <w:sz w:val="20"/>
          <w:szCs w:val="20"/>
        </w:rPr>
        <w:t>KK.01.2.1.02.0303</w:t>
      </w:r>
      <w:r>
        <w:rPr>
          <w:rFonts w:ascii="Arial" w:hAnsi="Arial" w:cs="Arial"/>
          <w:sz w:val="20"/>
          <w:szCs w:val="20"/>
        </w:rPr>
        <w:t xml:space="preserve">); glavni partner: Adria Electronic d.o.o. Rijeka; trajanje: 17.08.2020.-17.08.2023. </w:t>
      </w:r>
      <w:r w:rsidRPr="00D92B88">
        <w:rPr>
          <w:rFonts w:ascii="Arial" w:hAnsi="Arial" w:cs="Arial"/>
          <w:sz w:val="20"/>
          <w:szCs w:val="20"/>
        </w:rPr>
        <w:t xml:space="preserve">Primarni cilj projekta je razviti inovativni sustav koji </w:t>
      </w:r>
      <w:proofErr w:type="gramStart"/>
      <w:r w:rsidRPr="00D92B88">
        <w:rPr>
          <w:rFonts w:ascii="Arial" w:hAnsi="Arial" w:cs="Arial"/>
          <w:sz w:val="20"/>
          <w:szCs w:val="20"/>
        </w:rPr>
        <w:t>će</w:t>
      </w:r>
      <w:proofErr w:type="gramEnd"/>
      <w:r w:rsidRPr="00D92B88">
        <w:rPr>
          <w:rFonts w:ascii="Arial" w:hAnsi="Arial" w:cs="Arial"/>
          <w:sz w:val="20"/>
          <w:szCs w:val="20"/>
        </w:rPr>
        <w:t xml:space="preserve"> štedjeti energiju i omogućavati detaljnu procjenu i informiranje o anomalijama koje se mogu dogoditi.</w:t>
      </w:r>
      <w:r>
        <w:rPr>
          <w:rFonts w:ascii="Arial" w:hAnsi="Arial" w:cs="Arial"/>
          <w:sz w:val="20"/>
          <w:szCs w:val="20"/>
        </w:rPr>
        <w:t xml:space="preserve"> </w:t>
      </w:r>
      <w:r w:rsidRPr="00D92B88">
        <w:rPr>
          <w:rFonts w:ascii="Arial" w:hAnsi="Arial" w:cs="Arial"/>
          <w:sz w:val="20"/>
          <w:szCs w:val="20"/>
        </w:rPr>
        <w:t xml:space="preserve">Industrijskim i eksperimentalnim istraživanjem inovativnih rješenja pametnih soba postiže se efikasnije upravljanja rekuperatorom, detekcija međusobnog utjecaja klimatiziranih zona i optimalno upravljanje klimatizacijom, korištenje ekspertnog sustava koji omogućava pravovremene prijedloge za optimalno upravljanje klimatizacijom, poboljšanje upravljanja rasvjetom </w:t>
      </w:r>
      <w:proofErr w:type="gramStart"/>
      <w:r w:rsidRPr="00D92B88">
        <w:rPr>
          <w:rFonts w:ascii="Arial" w:hAnsi="Arial" w:cs="Arial"/>
          <w:sz w:val="20"/>
          <w:szCs w:val="20"/>
        </w:rPr>
        <w:t>te</w:t>
      </w:r>
      <w:proofErr w:type="gramEnd"/>
      <w:r w:rsidRPr="00D92B88">
        <w:rPr>
          <w:rFonts w:ascii="Arial" w:hAnsi="Arial" w:cs="Arial"/>
          <w:sz w:val="20"/>
          <w:szCs w:val="20"/>
        </w:rPr>
        <w:t xml:space="preserve"> upravljanje vršnom snagom trošila na način da algoritam pronalazi načina za uštedu energije bez utjecaja na goste.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Pr="00FB3017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 provođenje aktivnosti A679072 pred</w:t>
      </w:r>
      <w:r w:rsidR="00F247F6">
        <w:rPr>
          <w:rFonts w:ascii="Arial" w:hAnsi="Arial" w:cs="Arial"/>
          <w:sz w:val="20"/>
          <w:szCs w:val="20"/>
        </w:rPr>
        <w:t xml:space="preserve">viđeno je u 2022. </w:t>
      </w:r>
      <w:proofErr w:type="gramStart"/>
      <w:r w:rsidR="00F247F6">
        <w:rPr>
          <w:rFonts w:ascii="Arial" w:hAnsi="Arial" w:cs="Arial"/>
          <w:sz w:val="20"/>
          <w:szCs w:val="20"/>
        </w:rPr>
        <w:t>god</w:t>
      </w:r>
      <w:proofErr w:type="gramEnd"/>
      <w:r w:rsidR="00F247F6">
        <w:rPr>
          <w:rFonts w:ascii="Arial" w:hAnsi="Arial" w:cs="Arial"/>
          <w:sz w:val="20"/>
          <w:szCs w:val="20"/>
        </w:rPr>
        <w:t>. 1.413.595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kn</w:t>
      </w:r>
      <w:proofErr w:type="gramEnd"/>
      <w:r>
        <w:rPr>
          <w:rFonts w:ascii="Arial" w:hAnsi="Arial" w:cs="Arial"/>
          <w:sz w:val="20"/>
          <w:szCs w:val="20"/>
        </w:rPr>
        <w:t xml:space="preserve">, u 2023.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1.161.009 </w:t>
      </w:r>
      <w:proofErr w:type="gramStart"/>
      <w:r>
        <w:rPr>
          <w:rFonts w:ascii="Arial" w:hAnsi="Arial" w:cs="Arial"/>
          <w:sz w:val="20"/>
          <w:szCs w:val="20"/>
        </w:rPr>
        <w:t>kn</w:t>
      </w:r>
      <w:proofErr w:type="gramEnd"/>
      <w:r>
        <w:rPr>
          <w:rFonts w:ascii="Arial" w:hAnsi="Arial" w:cs="Arial"/>
          <w:sz w:val="20"/>
          <w:szCs w:val="20"/>
        </w:rPr>
        <w:t xml:space="preserve">, dok je projekcija za 2024.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82.000 kn. Rashodi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ovoj aktivnosti iz izvora 52, u 2022.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planiraju</w:t>
      </w:r>
      <w:proofErr w:type="gramEnd"/>
      <w:r>
        <w:rPr>
          <w:rFonts w:ascii="Arial" w:hAnsi="Arial" w:cs="Arial"/>
          <w:sz w:val="20"/>
          <w:szCs w:val="20"/>
        </w:rPr>
        <w:t xml:space="preserve"> se u manjem iznosu od ostvarenih prihoda u 2022.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pa</w:t>
      </w:r>
      <w:proofErr w:type="gramEnd"/>
      <w:r>
        <w:rPr>
          <w:rFonts w:ascii="Arial" w:hAnsi="Arial" w:cs="Arial"/>
          <w:sz w:val="20"/>
          <w:szCs w:val="20"/>
        </w:rPr>
        <w:t xml:space="preserve"> su iskazani neutrošeni prihodi u iznosu od </w:t>
      </w:r>
      <w:r w:rsidR="00F247F6">
        <w:rPr>
          <w:rFonts w:ascii="Arial" w:hAnsi="Arial" w:cs="Arial"/>
          <w:sz w:val="20"/>
          <w:szCs w:val="20"/>
        </w:rPr>
        <w:t xml:space="preserve">1.092.848 </w:t>
      </w:r>
      <w:r>
        <w:rPr>
          <w:rFonts w:ascii="Arial" w:hAnsi="Arial" w:cs="Arial"/>
          <w:sz w:val="20"/>
          <w:szCs w:val="20"/>
        </w:rPr>
        <w:t xml:space="preserve">kn kao odnos u 2023.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</w:tblGrid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EA7">
              <w:rPr>
                <w:rFonts w:ascii="Arial" w:hAnsi="Arial" w:cs="Arial"/>
                <w:sz w:val="20"/>
                <w:szCs w:val="20"/>
              </w:rPr>
              <w:t>Šifra aktivnosti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2022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2023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2024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Indeks 22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C7EA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1E94" w:rsidRPr="000C7EA7" w:rsidTr="00A42460"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EA7">
              <w:rPr>
                <w:rFonts w:ascii="Arial" w:hAnsi="Arial" w:cs="Arial"/>
                <w:b/>
                <w:sz w:val="20"/>
                <w:szCs w:val="20"/>
              </w:rPr>
              <w:t>A 679072</w:t>
            </w:r>
          </w:p>
        </w:tc>
        <w:tc>
          <w:tcPr>
            <w:tcW w:w="1407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2.459.700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1.413.595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7EA7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161.009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82.000</w:t>
            </w:r>
          </w:p>
        </w:tc>
        <w:tc>
          <w:tcPr>
            <w:tcW w:w="1408" w:type="dxa"/>
            <w:shd w:val="clear" w:color="auto" w:fill="auto"/>
          </w:tcPr>
          <w:p w:rsidR="00AE1E94" w:rsidRPr="000C7EA7" w:rsidRDefault="00AE1E94" w:rsidP="00A4246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57,47</w:t>
            </w:r>
          </w:p>
        </w:tc>
      </w:tr>
    </w:tbl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 Zakonske i druge pravne osnove</w:t>
      </w:r>
    </w:p>
    <w:p w:rsidR="00AE1E94" w:rsidRDefault="00AE1E94" w:rsidP="00AE1E94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Prijedlog Financijskog plana za 2022.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projekcija za 2023.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2024.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polazi od: </w:t>
      </w:r>
    </w:p>
    <w:p w:rsidR="00AE1E94" w:rsidRDefault="00AE1E94" w:rsidP="00AE1E94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Zakon o proračunu (NN 87/08, 136/12 i 15/15), </w:t>
      </w:r>
    </w:p>
    <w:p w:rsidR="00AE1E94" w:rsidRDefault="00AE1E94" w:rsidP="00AE1E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5C6">
        <w:rPr>
          <w:rFonts w:ascii="Arial" w:hAnsi="Arial" w:cs="Arial"/>
          <w:sz w:val="20"/>
          <w:szCs w:val="20"/>
        </w:rPr>
        <w:t>Zakon o znanstvenoj djelatnosti i visokom obrazovanju (NN, br. 123/03, 198/03, 105/04, 174/04, 02/07, 46/07, 45/09, 63/11, i 94/13),</w:t>
      </w:r>
    </w:p>
    <w:p w:rsidR="00AE1E94" w:rsidRPr="008275C6" w:rsidRDefault="00AE1E94" w:rsidP="00AE1E9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Kolektivni ugovor za znanost i visoko obrazovanje,</w:t>
      </w:r>
    </w:p>
    <w:p w:rsidR="00AE1E94" w:rsidRDefault="00AE1E94" w:rsidP="00AE1E9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75C6">
        <w:rPr>
          <w:rFonts w:ascii="Arial" w:hAnsi="Arial" w:cs="Arial"/>
          <w:sz w:val="20"/>
          <w:szCs w:val="20"/>
        </w:rPr>
        <w:t>Zakon o ustanovama (NN, br. 76/93, 29/97, 47/99 i 35/08),</w:t>
      </w:r>
    </w:p>
    <w:p w:rsidR="00AE1E94" w:rsidRPr="00FE468B" w:rsidRDefault="00AE1E94" w:rsidP="00AE1E9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Odluka Vlade Republike Hrvatske o programskom financiranju javnih visokih učilišta u Republici Hrvatskoj u </w:t>
      </w:r>
      <w:proofErr w:type="gramStart"/>
      <w:r>
        <w:rPr>
          <w:rFonts w:ascii="Arial" w:hAnsi="Arial" w:cs="Arial"/>
          <w:sz w:val="20"/>
          <w:szCs w:val="20"/>
        </w:rPr>
        <w:t>ak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 2018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 xml:space="preserve">2019., 2019./2020., 2020./2021.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2021./2022.,</w:t>
      </w:r>
      <w:r w:rsidRPr="00FE468B">
        <w:rPr>
          <w:rFonts w:ascii="Arial" w:hAnsi="Arial" w:cs="Arial"/>
          <w:sz w:val="20"/>
          <w:szCs w:val="20"/>
        </w:rPr>
        <w:t xml:space="preserve"> </w:t>
      </w:r>
    </w:p>
    <w:p w:rsidR="00AE1E94" w:rsidRDefault="00AE1E94" w:rsidP="00AE1E9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Ugovor o programskom financiranju Sveučilišta u Rijeci u </w:t>
      </w:r>
      <w:proofErr w:type="gramStart"/>
      <w:r>
        <w:rPr>
          <w:rFonts w:ascii="Arial" w:hAnsi="Arial" w:cs="Arial"/>
          <w:sz w:val="20"/>
          <w:szCs w:val="20"/>
        </w:rPr>
        <w:t>ak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 2018</w:t>
      </w:r>
      <w:proofErr w:type="gramStart"/>
      <w:r>
        <w:rPr>
          <w:rFonts w:ascii="Arial" w:hAnsi="Arial" w:cs="Arial"/>
          <w:sz w:val="20"/>
          <w:szCs w:val="20"/>
        </w:rPr>
        <w:t>./</w:t>
      </w:r>
      <w:proofErr w:type="gramEnd"/>
      <w:r>
        <w:rPr>
          <w:rFonts w:ascii="Arial" w:hAnsi="Arial" w:cs="Arial"/>
          <w:sz w:val="20"/>
          <w:szCs w:val="20"/>
        </w:rPr>
        <w:t xml:space="preserve">2019., 2019./2020., 2020./2021.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2021./2022.,</w:t>
      </w:r>
    </w:p>
    <w:p w:rsidR="00AE1E94" w:rsidRDefault="00AE1E94" w:rsidP="00AE1E9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Strategija Sveučilišta u Rijeci 2021.-2025.,</w:t>
      </w:r>
    </w:p>
    <w:p w:rsidR="00AE1E94" w:rsidRPr="00FE468B" w:rsidRDefault="00AE1E94" w:rsidP="00AE1E94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Strategija razvoja Tehničkog fakulteta Sveučilišta u Rijeci za razdoblje 2021.-2025.,</w:t>
      </w:r>
    </w:p>
    <w:p w:rsidR="00AE1E94" w:rsidRDefault="00AE1E94" w:rsidP="00AE1E94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Uputa za izradu prijedloga državnog proračuna Republike Hrvatske za razdoblje 2022.-2024. </w:t>
      </w:r>
      <w:proofErr w:type="gramStart"/>
      <w:r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323CC1">
        <w:rPr>
          <w:rFonts w:ascii="Arial" w:hAnsi="Arial" w:cs="Arial"/>
          <w:sz w:val="20"/>
          <w:szCs w:val="20"/>
        </w:rPr>
        <w:t xml:space="preserve">od kolovoza 2021. </w:t>
      </w:r>
      <w:proofErr w:type="gramStart"/>
      <w:r w:rsidRPr="00323CC1">
        <w:rPr>
          <w:rFonts w:ascii="Arial" w:hAnsi="Arial" w:cs="Arial"/>
          <w:sz w:val="20"/>
          <w:szCs w:val="20"/>
        </w:rPr>
        <w:t>god</w:t>
      </w:r>
      <w:proofErr w:type="gramEnd"/>
      <w:r w:rsidRPr="00323CC1">
        <w:rPr>
          <w:rFonts w:ascii="Arial" w:hAnsi="Arial" w:cs="Arial"/>
          <w:sz w:val="20"/>
          <w:szCs w:val="20"/>
        </w:rPr>
        <w:t>. Ministarstva financija</w:t>
      </w:r>
      <w:r>
        <w:rPr>
          <w:rFonts w:ascii="Arial" w:hAnsi="Arial" w:cs="Arial"/>
          <w:sz w:val="20"/>
          <w:szCs w:val="20"/>
        </w:rPr>
        <w:t xml:space="preserve">, </w:t>
      </w:r>
    </w:p>
    <w:p w:rsidR="00AE1E94" w:rsidRDefault="00AE1E94" w:rsidP="00AE1E94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Uputa za izradu prijedloga financijskog plana razdjela 080 – Ministarstvo znanosti i obrazovanja za razdoblje 2022.-2024. </w:t>
      </w:r>
      <w:proofErr w:type="gramStart"/>
      <w:r>
        <w:rPr>
          <w:rFonts w:ascii="Arial" w:hAnsi="Arial" w:cs="Arial"/>
          <w:sz w:val="20"/>
          <w:szCs w:val="20"/>
        </w:rPr>
        <w:t>godine</w:t>
      </w:r>
      <w:proofErr w:type="gramEnd"/>
      <w:r>
        <w:rPr>
          <w:rFonts w:ascii="Arial" w:hAnsi="Arial" w:cs="Arial"/>
          <w:sz w:val="20"/>
          <w:szCs w:val="20"/>
        </w:rPr>
        <w:t xml:space="preserve"> od rujna 2021.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.,</w:t>
      </w:r>
    </w:p>
    <w:p w:rsidR="00AE1E94" w:rsidRDefault="00AE1E94" w:rsidP="00AE1E94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Uputa o usklađenju prijedloga financijskog plana za glavu 08006 Sveučilišta i veleučilišta u RH i </w:t>
      </w:r>
      <w:proofErr w:type="gramStart"/>
      <w:r>
        <w:rPr>
          <w:rFonts w:ascii="Arial" w:hAnsi="Arial" w:cs="Arial"/>
          <w:sz w:val="20"/>
          <w:szCs w:val="20"/>
        </w:rPr>
        <w:t>glavu  08008</w:t>
      </w:r>
      <w:proofErr w:type="gramEnd"/>
      <w:r>
        <w:rPr>
          <w:rFonts w:ascii="Arial" w:hAnsi="Arial" w:cs="Arial"/>
          <w:sz w:val="20"/>
          <w:szCs w:val="20"/>
        </w:rPr>
        <w:t xml:space="preserve"> Javni instituti u RH u okviru Nacrta prijedloga državnog proračuna RH za 2022.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projekcija za 2023.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2024. </w:t>
      </w:r>
      <w:proofErr w:type="gramStart"/>
      <w:r>
        <w:rPr>
          <w:rFonts w:ascii="Arial" w:hAnsi="Arial" w:cs="Arial"/>
          <w:sz w:val="20"/>
          <w:szCs w:val="20"/>
        </w:rPr>
        <w:t>godinu</w:t>
      </w:r>
      <w:proofErr w:type="gramEnd"/>
      <w:r>
        <w:rPr>
          <w:rFonts w:ascii="Arial" w:hAnsi="Arial" w:cs="Arial"/>
          <w:sz w:val="20"/>
          <w:szCs w:val="20"/>
        </w:rPr>
        <w:t xml:space="preserve"> od 03.11.2021.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.,</w:t>
      </w:r>
    </w:p>
    <w:p w:rsidR="00AE1E94" w:rsidRDefault="00AE1E94" w:rsidP="00AE1E94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Uputa Sveučilišta u Rijeci </w:t>
      </w:r>
      <w:proofErr w:type="gramStart"/>
      <w:r>
        <w:rPr>
          <w:rFonts w:ascii="Arial" w:hAnsi="Arial" w:cs="Arial"/>
          <w:sz w:val="20"/>
          <w:szCs w:val="20"/>
        </w:rPr>
        <w:t>sa</w:t>
      </w:r>
      <w:proofErr w:type="gramEnd"/>
      <w:r>
        <w:rPr>
          <w:rFonts w:ascii="Arial" w:hAnsi="Arial" w:cs="Arial"/>
          <w:sz w:val="20"/>
          <w:szCs w:val="20"/>
        </w:rPr>
        <w:t xml:space="preserve"> limitima za sastavnice, za izvor financiranja opći prihodi i primici aktivnost A621002 Redovna djelatnost Sveučilišta u Rijeci i aktivnost A622122 Programsko financiranje javnih visokih učilišta - Sveučilište u Rijeci, od 14. </w:t>
      </w:r>
      <w:proofErr w:type="gramStart"/>
      <w:r>
        <w:rPr>
          <w:rFonts w:ascii="Arial" w:hAnsi="Arial" w:cs="Arial"/>
          <w:sz w:val="20"/>
          <w:szCs w:val="20"/>
        </w:rPr>
        <w:t>rujna</w:t>
      </w:r>
      <w:proofErr w:type="gramEnd"/>
      <w:r>
        <w:rPr>
          <w:rFonts w:ascii="Arial" w:hAnsi="Arial" w:cs="Arial"/>
          <w:sz w:val="20"/>
          <w:szCs w:val="20"/>
        </w:rPr>
        <w:t xml:space="preserve"> 2021.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E1E94" w:rsidRDefault="00AE1E94" w:rsidP="00AE1E94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Uputa Sveučilišta u Rijeci </w:t>
      </w:r>
      <w:proofErr w:type="gramStart"/>
      <w:r>
        <w:rPr>
          <w:rFonts w:ascii="Arial" w:hAnsi="Arial" w:cs="Arial"/>
          <w:sz w:val="20"/>
          <w:szCs w:val="20"/>
        </w:rPr>
        <w:t>sa</w:t>
      </w:r>
      <w:proofErr w:type="gramEnd"/>
      <w:r>
        <w:rPr>
          <w:rFonts w:ascii="Arial" w:hAnsi="Arial" w:cs="Arial"/>
          <w:sz w:val="20"/>
          <w:szCs w:val="20"/>
        </w:rPr>
        <w:t xml:space="preserve"> limitima za sastavnice, za izvor financiranja opći prihodi i primici aktivnost A621002 Redovna djelatnost Sveučilišta u Rijeci i aktivnost A622122 Programsko financiranje javnih visokih učilišta - Sveučilište u Rijeci, od 03. </w:t>
      </w:r>
      <w:proofErr w:type="gramStart"/>
      <w:r>
        <w:rPr>
          <w:rFonts w:ascii="Arial" w:hAnsi="Arial" w:cs="Arial"/>
          <w:sz w:val="20"/>
          <w:szCs w:val="20"/>
        </w:rPr>
        <w:t>prosinca</w:t>
      </w:r>
      <w:proofErr w:type="gramEnd"/>
      <w:r>
        <w:rPr>
          <w:rFonts w:ascii="Arial" w:hAnsi="Arial" w:cs="Arial"/>
          <w:sz w:val="20"/>
          <w:szCs w:val="20"/>
        </w:rPr>
        <w:t xml:space="preserve"> 2021.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E1E94" w:rsidRDefault="00AE1E94" w:rsidP="00AE1E94">
      <w:pPr>
        <w:spacing w:line="276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AE1E94" w:rsidRPr="00486151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</w:t>
      </w:r>
      <w:r w:rsidRPr="00486151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Ciljevi provedbe programa u razdoblju 2022.-2024. </w:t>
      </w:r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pokazatelji uspješnosti kojima će se mjeriti </w:t>
      </w:r>
    </w:p>
    <w:p w:rsidR="00AE1E94" w:rsidRPr="00486151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b/>
          <w:sz w:val="20"/>
          <w:szCs w:val="20"/>
        </w:rPr>
        <w:t>ostvarenje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tih ciljeva</w:t>
      </w:r>
    </w:p>
    <w:p w:rsidR="00AE1E94" w:rsidRDefault="00AE1E94" w:rsidP="00AE1E9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Fakultet, sukladno odredbama Senata, prati ciljeve definirane u Strategiji razvoja Sveučilišta u Rijeci za 2021.-2025.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i</w:t>
      </w:r>
      <w:proofErr w:type="gramEnd"/>
      <w:r>
        <w:rPr>
          <w:rFonts w:ascii="Arial" w:hAnsi="Arial" w:cs="Arial"/>
          <w:sz w:val="20"/>
          <w:szCs w:val="20"/>
        </w:rPr>
        <w:t xml:space="preserve"> u Strategiji razvoja Tehničkog fakulteta Sveučilišta u Rijeci za 2021.-2025. </w:t>
      </w:r>
      <w:proofErr w:type="gramStart"/>
      <w:r>
        <w:rPr>
          <w:rFonts w:ascii="Arial" w:hAnsi="Arial" w:cs="Arial"/>
          <w:sz w:val="20"/>
          <w:szCs w:val="20"/>
        </w:rPr>
        <w:t>god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Skladno strategiji Sveučilišta u Rijeci kao i obveznim pokazateljima rezultata za visoka učilišta definirani su ključni pokazatelji uspjeha koji služe za provjeru i praćenje napretka Tehničkog fakulteta Rijeka.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18"/>
        <w:gridCol w:w="1119"/>
        <w:gridCol w:w="1119"/>
        <w:gridCol w:w="1119"/>
        <w:gridCol w:w="1119"/>
        <w:gridCol w:w="1119"/>
      </w:tblGrid>
      <w:tr w:rsidR="00AE1E94" w:rsidRPr="000C7EA7" w:rsidTr="00A42460">
        <w:tc>
          <w:tcPr>
            <w:tcW w:w="1129" w:type="dxa"/>
            <w:shd w:val="clear" w:color="auto" w:fill="D0CECE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 w:rsidRPr="000C7EA7">
              <w:rPr>
                <w:rFonts w:ascii="Calibri" w:eastAsia="Calibri" w:hAnsi="Calibri"/>
                <w:sz w:val="20"/>
              </w:rPr>
              <w:lastRenderedPageBreak/>
              <w:t>Pokazatelj rezultata</w:t>
            </w:r>
          </w:p>
        </w:tc>
        <w:tc>
          <w:tcPr>
            <w:tcW w:w="1560" w:type="dxa"/>
            <w:shd w:val="clear" w:color="auto" w:fill="D0CECE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 w:rsidRPr="000C7EA7">
              <w:rPr>
                <w:rFonts w:ascii="Calibri" w:eastAsia="Calibri" w:hAnsi="Calibri"/>
                <w:sz w:val="20"/>
              </w:rPr>
              <w:t>Definicija</w:t>
            </w:r>
          </w:p>
        </w:tc>
        <w:tc>
          <w:tcPr>
            <w:tcW w:w="1118" w:type="dxa"/>
            <w:shd w:val="clear" w:color="auto" w:fill="D0CECE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 w:rsidRPr="000C7EA7">
              <w:rPr>
                <w:rFonts w:ascii="Calibri" w:eastAsia="Calibri" w:hAnsi="Calibri"/>
                <w:sz w:val="20"/>
              </w:rPr>
              <w:t>Jedinica</w:t>
            </w:r>
          </w:p>
        </w:tc>
        <w:tc>
          <w:tcPr>
            <w:tcW w:w="1119" w:type="dxa"/>
            <w:shd w:val="clear" w:color="auto" w:fill="D0CECE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 w:rsidRPr="000C7EA7">
              <w:rPr>
                <w:rFonts w:ascii="Calibri" w:eastAsia="Calibri" w:hAnsi="Calibri"/>
                <w:sz w:val="20"/>
              </w:rPr>
              <w:t>Polazna vrijednost</w:t>
            </w:r>
          </w:p>
        </w:tc>
        <w:tc>
          <w:tcPr>
            <w:tcW w:w="1119" w:type="dxa"/>
            <w:shd w:val="clear" w:color="auto" w:fill="D0CECE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 w:rsidRPr="000C7EA7">
              <w:rPr>
                <w:rFonts w:ascii="Calibri" w:eastAsia="Calibri" w:hAnsi="Calibri"/>
                <w:sz w:val="20"/>
              </w:rPr>
              <w:t>Izvor podataka</w:t>
            </w:r>
          </w:p>
        </w:tc>
        <w:tc>
          <w:tcPr>
            <w:tcW w:w="1119" w:type="dxa"/>
            <w:shd w:val="clear" w:color="auto" w:fill="D0CECE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 w:rsidRPr="000C7EA7">
              <w:rPr>
                <w:rFonts w:ascii="Calibri" w:eastAsia="Calibri" w:hAnsi="Calibri"/>
                <w:sz w:val="20"/>
              </w:rPr>
              <w:t xml:space="preserve">Ciljana vrijednost za </w:t>
            </w:r>
            <w:r>
              <w:rPr>
                <w:rFonts w:ascii="Calibri" w:eastAsia="Calibri" w:hAnsi="Calibri"/>
                <w:sz w:val="20"/>
              </w:rPr>
              <w:t>2022</w:t>
            </w:r>
            <w:r w:rsidRPr="000C7EA7">
              <w:rPr>
                <w:rFonts w:ascii="Calibri" w:eastAsia="Calibri" w:hAnsi="Calibri"/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 w:rsidRPr="000C7EA7">
              <w:rPr>
                <w:rFonts w:ascii="Calibri" w:eastAsia="Calibri" w:hAnsi="Calibri"/>
                <w:sz w:val="20"/>
              </w:rPr>
              <w:t>Ciljana vrijednost za 2</w:t>
            </w:r>
            <w:r>
              <w:rPr>
                <w:rFonts w:ascii="Calibri" w:eastAsia="Calibri" w:hAnsi="Calibri"/>
                <w:sz w:val="20"/>
              </w:rPr>
              <w:t>023</w:t>
            </w:r>
            <w:r w:rsidRPr="000C7EA7">
              <w:rPr>
                <w:rFonts w:ascii="Calibri" w:eastAsia="Calibri" w:hAnsi="Calibri"/>
                <w:sz w:val="20"/>
              </w:rPr>
              <w:t>.</w:t>
            </w:r>
          </w:p>
        </w:tc>
        <w:tc>
          <w:tcPr>
            <w:tcW w:w="1119" w:type="dxa"/>
            <w:shd w:val="clear" w:color="auto" w:fill="D0CECE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Ciljana vrijednost za 2024</w:t>
            </w:r>
            <w:r w:rsidRPr="000C7EA7">
              <w:rPr>
                <w:rFonts w:ascii="Calibri" w:eastAsia="Calibri" w:hAnsi="Calibri"/>
                <w:sz w:val="20"/>
              </w:rPr>
              <w:t>.</w:t>
            </w:r>
          </w:p>
        </w:tc>
      </w:tr>
      <w:tr w:rsidR="00AE1E94" w:rsidRPr="000C7EA7" w:rsidTr="00A42460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iCs/>
                <w:sz w:val="20"/>
                <w:szCs w:val="20"/>
              </w:rPr>
              <w:t>Broj studenata koji su na prvoj godini studiranja ostvarili 60 ECTS-a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iCs/>
                <w:sz w:val="20"/>
                <w:szCs w:val="20"/>
              </w:rPr>
              <w:t>Povećati uspješnost studiranja na prvoj godini preddiplomskog studija.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Broj studenata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165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Služba studentske evidencije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iCs/>
                <w:sz w:val="20"/>
                <w:szCs w:val="20"/>
              </w:rPr>
              <w:t>165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iCs/>
                <w:sz w:val="20"/>
                <w:szCs w:val="20"/>
              </w:rPr>
              <w:t>165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165</w:t>
            </w:r>
          </w:p>
        </w:tc>
      </w:tr>
      <w:tr w:rsidR="00AE1E94" w:rsidRPr="000C7EA7" w:rsidTr="00A42460">
        <w:tc>
          <w:tcPr>
            <w:tcW w:w="1129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Broj objavljenih znanstvenih radova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Povećati broj objavljenih radova po istraživaču.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Broj radova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75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Dekanat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8</w:t>
            </w:r>
            <w:r>
              <w:rPr>
                <w:rFonts w:ascii="Calibri" w:eastAsia="Calibri" w:hAnsi="Calibri"/>
                <w:i/>
                <w:sz w:val="20"/>
              </w:rPr>
              <w:t>5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90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91</w:t>
            </w:r>
          </w:p>
        </w:tc>
      </w:tr>
      <w:tr w:rsidR="00AE1E94" w:rsidRPr="000C7EA7" w:rsidTr="00A42460"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Udio STEM studenata koji su završili studij u roku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Povećati broj STEM studenata koji su završili studij u predviđenom trajanju.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Postotak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80%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Služba studentske evidencije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85%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 w:rsidRPr="000C7EA7">
              <w:rPr>
                <w:rFonts w:ascii="Calibri" w:eastAsia="Calibri" w:hAnsi="Calibri"/>
                <w:i/>
                <w:sz w:val="20"/>
              </w:rPr>
              <w:t>85</w:t>
            </w:r>
            <w:r>
              <w:rPr>
                <w:rFonts w:ascii="Calibri" w:eastAsia="Calibri" w:hAnsi="Calibri"/>
                <w:i/>
                <w:sz w:val="20"/>
              </w:rPr>
              <w:t>%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E94" w:rsidRPr="000C7EA7" w:rsidRDefault="00AE1E94" w:rsidP="00A42460">
            <w:pPr>
              <w:jc w:val="center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  <w:i/>
                <w:sz w:val="20"/>
              </w:rPr>
              <w:t>86%</w:t>
            </w:r>
          </w:p>
        </w:tc>
      </w:tr>
    </w:tbl>
    <w:p w:rsidR="00AE1E94" w:rsidRDefault="00AE1E94" w:rsidP="00AE1E9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Ostvarene vrijednosti </w:t>
      </w:r>
      <w:proofErr w:type="gramStart"/>
      <w:r>
        <w:rPr>
          <w:rFonts w:ascii="Arial" w:hAnsi="Arial" w:cs="Arial"/>
          <w:sz w:val="20"/>
          <w:szCs w:val="20"/>
        </w:rPr>
        <w:t>na</w:t>
      </w:r>
      <w:proofErr w:type="gramEnd"/>
      <w:r>
        <w:rPr>
          <w:rFonts w:ascii="Arial" w:hAnsi="Arial" w:cs="Arial"/>
          <w:sz w:val="20"/>
          <w:szCs w:val="20"/>
        </w:rPr>
        <w:t xml:space="preserve"> godišnjoj razini razmatra i usvaja Fakultetsko vijeće Tehničkog fakulteta te ih objedinjuje na razini Sveučilišta u Rijeci i usvaja na Senatu. </w:t>
      </w:r>
    </w:p>
    <w:p w:rsidR="00AE1E94" w:rsidRPr="006C66F7" w:rsidRDefault="00AE1E94" w:rsidP="00AE1E94">
      <w:pPr>
        <w:ind w:firstLine="72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Na</w:t>
      </w:r>
      <w:r w:rsidRPr="006C66F7">
        <w:rPr>
          <w:rFonts w:ascii="Arial" w:hAnsi="Arial" w:cs="Arial"/>
          <w:sz w:val="20"/>
          <w:szCs w:val="20"/>
          <w:lang w:val="en-AU"/>
        </w:rPr>
        <w:t xml:space="preserve"> cjelokupno poslovanje Fakulteta utjecala je epidemija koronavirusa (COVID-19), koja je još uvijek u tijeku, </w:t>
      </w:r>
      <w:proofErr w:type="gramStart"/>
      <w:r w:rsidRPr="006C66F7">
        <w:rPr>
          <w:rFonts w:ascii="Arial" w:hAnsi="Arial" w:cs="Arial"/>
          <w:sz w:val="20"/>
          <w:szCs w:val="20"/>
          <w:lang w:val="en-AU"/>
        </w:rPr>
        <w:t>a</w:t>
      </w:r>
      <w:proofErr w:type="gramEnd"/>
      <w:r w:rsidRPr="006C66F7">
        <w:rPr>
          <w:rFonts w:ascii="Arial" w:hAnsi="Arial" w:cs="Arial"/>
          <w:sz w:val="20"/>
          <w:szCs w:val="20"/>
          <w:lang w:val="en-AU"/>
        </w:rPr>
        <w:t xml:space="preserve"> istu je proglasila Svjetska zdravstvena organizacija (WHO) pandemijom u ožujku 2020. </w:t>
      </w:r>
      <w:proofErr w:type="gramStart"/>
      <w:r w:rsidRPr="006C66F7">
        <w:rPr>
          <w:rFonts w:ascii="Arial" w:hAnsi="Arial" w:cs="Arial"/>
          <w:sz w:val="20"/>
          <w:szCs w:val="20"/>
          <w:lang w:val="en-AU"/>
        </w:rPr>
        <w:t>godine</w:t>
      </w:r>
      <w:proofErr w:type="gramEnd"/>
      <w:r w:rsidRPr="006C66F7">
        <w:rPr>
          <w:rFonts w:ascii="Arial" w:hAnsi="Arial" w:cs="Arial"/>
          <w:sz w:val="20"/>
          <w:szCs w:val="20"/>
          <w:lang w:val="en-AU"/>
        </w:rPr>
        <w:t xml:space="preserve">. Utjecaj do kojega bi moglo doći uslijed pandemije još uvijek je neizvjestan. Trajanje bilo kakvih poremećaja poslovanja i mogući odgovarajući financijski utjecaj ne mogu biti u ovom trenutku razumno procijenjeni, jer ovise o budućim kretanjima globalnog ekonomskog usporavanja, a koja su vrlo nesigurna i ne mogu biti predviđena za vrijeme izrade ovog obrazloženja. Procjenjujemo da </w:t>
      </w:r>
      <w:proofErr w:type="gramStart"/>
      <w:r w:rsidRPr="006C66F7">
        <w:rPr>
          <w:rFonts w:ascii="Arial" w:hAnsi="Arial" w:cs="Arial"/>
          <w:sz w:val="20"/>
          <w:szCs w:val="20"/>
          <w:lang w:val="en-AU"/>
        </w:rPr>
        <w:t>će</w:t>
      </w:r>
      <w:proofErr w:type="gramEnd"/>
      <w:r w:rsidRPr="006C66F7">
        <w:rPr>
          <w:rFonts w:ascii="Arial" w:hAnsi="Arial" w:cs="Arial"/>
          <w:sz w:val="20"/>
          <w:szCs w:val="20"/>
          <w:lang w:val="en-AU"/>
        </w:rPr>
        <w:t xml:space="preserve"> na naše poslovanje pandemija koronavirusa imati utjecaja i u budućim razdobljima, odnosno da predstavlja nesigurnost i rizik za poslovanje i financijske rezultate Fakulteta, posebice u dijelu suradnje s gospodarstvom. Uzevši u obzir relativno niski stupanj vlastitog financiranja, Fakultet ovisi o financiranju iz Državnog proračuna Republike Hrvatske, posebice u dijelu financiranja redovne djelatnosti i programskog financiranja javnih visokih učilišta.  Do trenutka izrade ovog obrazloženja </w:t>
      </w:r>
      <w:proofErr w:type="gramStart"/>
      <w:r w:rsidRPr="006C66F7">
        <w:rPr>
          <w:rFonts w:ascii="Arial" w:hAnsi="Arial" w:cs="Arial"/>
          <w:sz w:val="20"/>
          <w:szCs w:val="20"/>
          <w:lang w:val="en-AU"/>
        </w:rPr>
        <w:t>na</w:t>
      </w:r>
      <w:proofErr w:type="gramEnd"/>
      <w:r w:rsidRPr="006C66F7">
        <w:rPr>
          <w:rFonts w:ascii="Arial" w:hAnsi="Arial" w:cs="Arial"/>
          <w:sz w:val="20"/>
          <w:szCs w:val="20"/>
          <w:lang w:val="en-AU"/>
        </w:rPr>
        <w:t xml:space="preserve"> financiranje redovne djelatnosti iz Državnog proračuna RH nisu značajno utjecali događaji izazvani koronavirusom, odnosno financiranje nije odstupalo od postojećih financijskih planova. Procjenjujemo da </w:t>
      </w:r>
      <w:proofErr w:type="gramStart"/>
      <w:r w:rsidRPr="006C66F7">
        <w:rPr>
          <w:rFonts w:ascii="Arial" w:hAnsi="Arial" w:cs="Arial"/>
          <w:sz w:val="20"/>
          <w:szCs w:val="20"/>
          <w:lang w:val="en-AU"/>
        </w:rPr>
        <w:t>će</w:t>
      </w:r>
      <w:proofErr w:type="gramEnd"/>
      <w:r w:rsidRPr="006C66F7">
        <w:rPr>
          <w:rFonts w:ascii="Arial" w:hAnsi="Arial" w:cs="Arial"/>
          <w:sz w:val="20"/>
          <w:szCs w:val="20"/>
          <w:lang w:val="en-AU"/>
        </w:rPr>
        <w:t xml:space="preserve"> Fakultet u budućem razdoblju održati likvidnost, bez obzira na negativan gospodarski utjecaj izazvan pandemijom koronavirusa. </w:t>
      </w:r>
    </w:p>
    <w:p w:rsidR="00AE1E94" w:rsidRDefault="00AE1E94" w:rsidP="00AE1E9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378E3" w:rsidRPr="00BC65E5" w:rsidRDefault="00AE1E94" w:rsidP="00BC65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Rijeci, 10. </w:t>
      </w:r>
      <w:proofErr w:type="gramStart"/>
      <w:r>
        <w:rPr>
          <w:rFonts w:ascii="Arial" w:hAnsi="Arial" w:cs="Arial"/>
          <w:sz w:val="20"/>
          <w:szCs w:val="20"/>
        </w:rPr>
        <w:t>prosinca</w:t>
      </w:r>
      <w:proofErr w:type="gramEnd"/>
      <w:r>
        <w:rPr>
          <w:rFonts w:ascii="Arial" w:hAnsi="Arial" w:cs="Arial"/>
          <w:sz w:val="20"/>
          <w:szCs w:val="20"/>
        </w:rPr>
        <w:t xml:space="preserve"> 2021.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C4EDB" w:rsidRPr="0045375F" w:rsidRDefault="004C4EDB" w:rsidP="00FC6E76">
      <w:pPr>
        <w:spacing w:after="60"/>
        <w:ind w:firstLine="426"/>
        <w:jc w:val="both"/>
        <w:rPr>
          <w:rFonts w:ascii="Times New Roman" w:hAnsi="Times New Roman" w:cs="Times New Roman"/>
          <w:lang w:val="hr-HR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02"/>
      </w:tblGrid>
      <w:tr w:rsidR="00604313" w:rsidRPr="0045375F" w:rsidTr="00BF55E6">
        <w:tc>
          <w:tcPr>
            <w:tcW w:w="6663" w:type="dxa"/>
          </w:tcPr>
          <w:p w:rsidR="00054048" w:rsidRPr="00BC65E5" w:rsidRDefault="00054048" w:rsidP="006D3576">
            <w:pPr>
              <w:spacing w:after="60"/>
              <w:rPr>
                <w:rFonts w:ascii="Arial" w:hAnsi="Arial" w:cs="Arial"/>
                <w:lang w:val="hr-HR"/>
              </w:rPr>
            </w:pPr>
          </w:p>
          <w:p w:rsidR="00604313" w:rsidRPr="00BC65E5" w:rsidRDefault="00604313" w:rsidP="008527FE">
            <w:pPr>
              <w:spacing w:after="60"/>
              <w:ind w:right="164"/>
              <w:jc w:val="right"/>
              <w:rPr>
                <w:rFonts w:ascii="Arial" w:hAnsi="Arial" w:cs="Arial"/>
                <w:lang w:val="hr-HR"/>
              </w:rPr>
            </w:pPr>
          </w:p>
        </w:tc>
        <w:tc>
          <w:tcPr>
            <w:tcW w:w="3402" w:type="dxa"/>
          </w:tcPr>
          <w:p w:rsidR="008F0B5B" w:rsidRDefault="00BF55E6" w:rsidP="008F0B5B">
            <w:pPr>
              <w:spacing w:after="60"/>
              <w:ind w:firstLine="4"/>
              <w:rPr>
                <w:rFonts w:ascii="Arial" w:hAnsi="Arial" w:cs="Arial"/>
                <w:lang w:val="hr-HR"/>
              </w:rPr>
            </w:pPr>
            <w:r w:rsidRPr="00BC65E5">
              <w:rPr>
                <w:rFonts w:ascii="Arial" w:hAnsi="Arial" w:cs="Arial"/>
                <w:lang w:val="hr-HR"/>
              </w:rPr>
              <w:t xml:space="preserve">           </w:t>
            </w:r>
            <w:r w:rsidR="00BC65E5">
              <w:rPr>
                <w:rFonts w:ascii="Arial" w:hAnsi="Arial" w:cs="Arial"/>
                <w:lang w:val="hr-HR"/>
              </w:rPr>
              <w:t xml:space="preserve"> </w:t>
            </w:r>
            <w:r w:rsidR="00604313" w:rsidRPr="00BC65E5">
              <w:rPr>
                <w:rFonts w:ascii="Arial" w:hAnsi="Arial" w:cs="Arial"/>
                <w:lang w:val="hr-HR"/>
              </w:rPr>
              <w:t>DEKAN</w:t>
            </w:r>
          </w:p>
          <w:p w:rsidR="00604313" w:rsidRPr="00BC65E5" w:rsidRDefault="00BF55E6" w:rsidP="008F0B5B">
            <w:pPr>
              <w:spacing w:after="60"/>
              <w:ind w:firstLine="4"/>
              <w:rPr>
                <w:rFonts w:ascii="Arial" w:hAnsi="Arial" w:cs="Arial"/>
                <w:lang w:val="hr-HR"/>
              </w:rPr>
            </w:pPr>
            <w:r w:rsidRPr="00BC65E5">
              <w:rPr>
                <w:rFonts w:ascii="Arial" w:hAnsi="Arial" w:cs="Arial"/>
                <w:lang w:val="hr-HR"/>
              </w:rPr>
              <w:t xml:space="preserve">M.P.   </w:t>
            </w:r>
            <w:r w:rsidR="00BC65E5">
              <w:rPr>
                <w:rFonts w:ascii="Arial" w:hAnsi="Arial" w:cs="Arial"/>
                <w:lang w:val="hr-HR"/>
              </w:rPr>
              <w:t xml:space="preserve"> </w:t>
            </w:r>
            <w:r w:rsidR="00604313" w:rsidRPr="00BC65E5">
              <w:rPr>
                <w:rFonts w:ascii="Arial" w:hAnsi="Arial" w:cs="Arial"/>
                <w:lang w:val="hr-HR"/>
              </w:rPr>
              <w:t>Prof. dr. sc. Duško Pavletić</w:t>
            </w:r>
          </w:p>
          <w:p w:rsidR="00604313" w:rsidRPr="00BC65E5" w:rsidRDefault="00604313" w:rsidP="00604313">
            <w:pPr>
              <w:spacing w:after="60"/>
              <w:ind w:firstLine="4"/>
              <w:rPr>
                <w:rFonts w:ascii="Arial" w:hAnsi="Arial" w:cs="Arial"/>
                <w:lang w:val="hr-HR"/>
              </w:rPr>
            </w:pPr>
          </w:p>
          <w:p w:rsidR="00604313" w:rsidRPr="00BC65E5" w:rsidRDefault="00604313" w:rsidP="00604313">
            <w:pPr>
              <w:spacing w:after="60"/>
              <w:ind w:firstLine="4"/>
              <w:rPr>
                <w:rFonts w:ascii="Arial" w:hAnsi="Arial" w:cs="Arial"/>
                <w:lang w:val="hr-HR"/>
              </w:rPr>
            </w:pPr>
            <w:r w:rsidRPr="00BC65E5">
              <w:rPr>
                <w:rFonts w:ascii="Arial" w:hAnsi="Arial" w:cs="Arial"/>
                <w:lang w:val="hr-HR"/>
              </w:rPr>
              <w:t>_______________________</w:t>
            </w:r>
            <w:r w:rsidR="00BF55E6" w:rsidRPr="00BC65E5">
              <w:rPr>
                <w:rFonts w:ascii="Arial" w:hAnsi="Arial" w:cs="Arial"/>
                <w:lang w:val="hr-HR"/>
              </w:rPr>
              <w:t>_____</w:t>
            </w:r>
          </w:p>
        </w:tc>
      </w:tr>
    </w:tbl>
    <w:p w:rsidR="00B74252" w:rsidRPr="0045375F" w:rsidRDefault="00B378E3" w:rsidP="00B378E3">
      <w:pPr>
        <w:tabs>
          <w:tab w:val="left" w:pos="1185"/>
        </w:tabs>
        <w:rPr>
          <w:rFonts w:ascii="Times New Roman" w:hAnsi="Times New Roman" w:cs="Times New Roman"/>
          <w:lang w:val="hr-HR"/>
        </w:rPr>
      </w:pPr>
      <w:r w:rsidRPr="0045375F">
        <w:rPr>
          <w:rFonts w:ascii="Times New Roman" w:hAnsi="Times New Roman" w:cs="Times New Roman"/>
          <w:lang w:val="hr-HR"/>
        </w:rPr>
        <w:tab/>
      </w:r>
    </w:p>
    <w:sectPr w:rsidR="00B74252" w:rsidRPr="0045375F" w:rsidSect="00AE1E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134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06" w:rsidRDefault="00050006" w:rsidP="00AF0DA4">
      <w:pPr>
        <w:spacing w:after="0" w:line="240" w:lineRule="auto"/>
      </w:pPr>
      <w:r>
        <w:separator/>
      </w:r>
    </w:p>
  </w:endnote>
  <w:endnote w:type="continuationSeparator" w:id="0">
    <w:p w:rsidR="00050006" w:rsidRDefault="00050006" w:rsidP="00AF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78" w:rsidRDefault="0085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83" w:rsidRPr="00AF0DA4" w:rsidRDefault="00953D83" w:rsidP="00953D83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F30CCF" w:rsidRPr="00143555" w:rsidTr="00F30CCF">
      <w:trPr>
        <w:trHeight w:val="713"/>
      </w:trPr>
      <w:tc>
        <w:tcPr>
          <w:tcW w:w="3838" w:type="dxa"/>
        </w:tcPr>
        <w:p w:rsidR="00F30CCF" w:rsidRPr="00143555" w:rsidRDefault="00F30CCF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F30CCF" w:rsidRDefault="00F30CCF" w:rsidP="001033FF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F30CCF" w:rsidRPr="00143555" w:rsidRDefault="00050006" w:rsidP="00A74439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F30CCF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F30CCF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F30CCF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F30CCF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F30CCF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F30CCF" w:rsidRPr="00143555" w:rsidRDefault="00F30CCF" w:rsidP="00F30CCF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editId="5B78670A">
                <wp:extent cx="561975" cy="561975"/>
                <wp:effectExtent l="0" t="0" r="9525" b="9525"/>
                <wp:docPr id="88" name="Picture 88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F30CCF" w:rsidRPr="00143555" w:rsidRDefault="00F30CCF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F30CCF" w:rsidRDefault="00F30CCF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F30CCF" w:rsidRPr="00143555" w:rsidRDefault="00F30CCF" w:rsidP="00AF76C1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B74252" w:rsidRDefault="00B74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252" w:rsidRPr="00AF0DA4" w:rsidRDefault="00B74252" w:rsidP="00B74252">
    <w:pPr>
      <w:pStyle w:val="Header"/>
      <w:rPr>
        <w:color w:val="1F4E79" w:themeColor="accent5" w:themeShade="80"/>
      </w:rPr>
    </w:pPr>
    <w:r w:rsidRPr="00AF0DA4">
      <w:rPr>
        <w:rFonts w:ascii="Book Antiqua" w:hAnsi="Book Antiqua"/>
        <w:b/>
        <w:color w:val="1F4E79" w:themeColor="accent5" w:themeShade="80"/>
      </w:rPr>
      <w:t>_______________________________________________________________________________________</w:t>
    </w:r>
    <w:r>
      <w:rPr>
        <w:rFonts w:ascii="Book Antiqua" w:hAnsi="Book Antiqua"/>
        <w:b/>
        <w:color w:val="1F4E79" w:themeColor="accent5" w:themeShade="80"/>
      </w:rPr>
      <w:t>___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2544"/>
      <w:gridCol w:w="3398"/>
    </w:tblGrid>
    <w:tr w:rsidR="00B74252" w:rsidRPr="00143555" w:rsidTr="004522AF">
      <w:trPr>
        <w:trHeight w:val="713"/>
      </w:trPr>
      <w:tc>
        <w:tcPr>
          <w:tcW w:w="3838" w:type="dxa"/>
        </w:tcPr>
        <w:p w:rsidR="00B74252" w:rsidRPr="00143555" w:rsidRDefault="00B74252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Vukovarska 58, 51000 Rijeka</w:t>
          </w:r>
        </w:p>
        <w:p w:rsidR="00B74252" w:rsidRDefault="00B74252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color w:val="002060"/>
              <w:sz w:val="18"/>
            </w:rPr>
            <w:t>Tel.: 05</w:t>
          </w:r>
          <w:r w:rsidRPr="00143555">
            <w:rPr>
              <w:rFonts w:ascii="Book Antiqua" w:hAnsi="Book Antiqua"/>
              <w:color w:val="002060"/>
              <w:sz w:val="18"/>
            </w:rPr>
            <w:t>1</w:t>
          </w:r>
          <w:r>
            <w:rPr>
              <w:rFonts w:ascii="Book Antiqua" w:hAnsi="Book Antiqua"/>
              <w:color w:val="002060"/>
              <w:sz w:val="18"/>
            </w:rPr>
            <w:t>/</w:t>
          </w:r>
          <w:r w:rsidRPr="00143555">
            <w:rPr>
              <w:rFonts w:ascii="Book Antiqua" w:hAnsi="Book Antiqua"/>
              <w:color w:val="002060"/>
              <w:sz w:val="18"/>
            </w:rPr>
            <w:t>651</w:t>
          </w:r>
          <w:r>
            <w:rPr>
              <w:rFonts w:ascii="Book Antiqua" w:hAnsi="Book Antiqua"/>
              <w:color w:val="002060"/>
              <w:sz w:val="18"/>
            </w:rPr>
            <w:t>-</w:t>
          </w:r>
          <w:r w:rsidRPr="00143555">
            <w:rPr>
              <w:rFonts w:ascii="Book Antiqua" w:hAnsi="Book Antiqua"/>
              <w:color w:val="002060"/>
              <w:sz w:val="18"/>
            </w:rPr>
            <w:t>444</w:t>
          </w:r>
        </w:p>
        <w:p w:rsidR="00B74252" w:rsidRPr="00143555" w:rsidRDefault="00050006" w:rsidP="00B74252">
          <w:pPr>
            <w:pStyle w:val="Footer"/>
            <w:rPr>
              <w:rFonts w:ascii="Book Antiqua" w:hAnsi="Book Antiqua"/>
              <w:color w:val="002060"/>
              <w:sz w:val="18"/>
            </w:rPr>
          </w:pPr>
          <w:hyperlink r:id="rId1" w:history="1">
            <w:r w:rsidR="00B74252" w:rsidRPr="00143555">
              <w:rPr>
                <w:rStyle w:val="Hyperlink"/>
                <w:rFonts w:ascii="Book Antiqua" w:hAnsi="Book Antiqua"/>
                <w:sz w:val="18"/>
              </w:rPr>
              <w:t>dekanat@riteh.hr</w:t>
            </w:r>
          </w:hyperlink>
          <w:r w:rsidR="00B74252" w:rsidRPr="00A74439">
            <w:rPr>
              <w:rStyle w:val="Hyperlink"/>
              <w:rFonts w:ascii="Book Antiqua" w:hAnsi="Book Antiqua"/>
              <w:color w:val="002060"/>
              <w:sz w:val="18"/>
              <w:u w:val="none"/>
            </w:rPr>
            <w:t>,</w:t>
          </w:r>
          <w:r w:rsidR="00B74252" w:rsidRPr="00A74439">
            <w:rPr>
              <w:rStyle w:val="Hyperlink"/>
              <w:color w:val="002060"/>
              <w:u w:val="none"/>
            </w:rPr>
            <w:t xml:space="preserve"> </w:t>
          </w:r>
          <w:hyperlink r:id="rId2" w:history="1">
            <w:r w:rsidR="00B74252" w:rsidRPr="00B13F2C">
              <w:rPr>
                <w:rStyle w:val="Hyperlink"/>
                <w:rFonts w:ascii="Book Antiqua" w:hAnsi="Book Antiqua"/>
                <w:sz w:val="18"/>
              </w:rPr>
              <w:t>www.riteh.uniri.h</w:t>
            </w:r>
            <w:r w:rsidR="00B74252">
              <w:rPr>
                <w:rStyle w:val="Hyperlink"/>
                <w:rFonts w:ascii="Book Antiqua" w:hAnsi="Book Antiqua"/>
                <w:sz w:val="18"/>
              </w:rPr>
              <w:t>r</w:t>
            </w:r>
          </w:hyperlink>
        </w:p>
      </w:tc>
      <w:tc>
        <w:tcPr>
          <w:tcW w:w="2648" w:type="dxa"/>
        </w:tcPr>
        <w:p w:rsidR="00B74252" w:rsidRPr="00143555" w:rsidRDefault="00B74252" w:rsidP="00B74252">
          <w:pPr>
            <w:pStyle w:val="Footer"/>
            <w:jc w:val="center"/>
            <w:rPr>
              <w:rFonts w:ascii="Book Antiqua" w:hAnsi="Book Antiqua"/>
              <w:color w:val="002060"/>
              <w:sz w:val="18"/>
            </w:rPr>
          </w:pPr>
          <w:r>
            <w:rPr>
              <w:rFonts w:ascii="Book Antiqua" w:hAnsi="Book Antiqua"/>
              <w:noProof/>
              <w:color w:val="002060"/>
              <w:sz w:val="18"/>
            </w:rPr>
            <w:drawing>
              <wp:inline distT="0" distB="0" distL="0" distR="0" wp14:anchorId="1D8632B3" wp14:editId="4053B5E6">
                <wp:extent cx="561975" cy="561975"/>
                <wp:effectExtent l="0" t="0" r="9525" b="9525"/>
                <wp:docPr id="90" name="Picture 90" descr="logo_fakult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fakult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43555">
            <w:rPr>
              <w:rFonts w:ascii="Book Antiqua" w:hAnsi="Book Antiqua"/>
              <w:color w:val="002060"/>
              <w:sz w:val="18"/>
            </w:rPr>
            <w:t xml:space="preserve"> </w:t>
          </w:r>
        </w:p>
      </w:tc>
      <w:tc>
        <w:tcPr>
          <w:tcW w:w="3486" w:type="dxa"/>
        </w:tcPr>
        <w:p w:rsidR="00B74252" w:rsidRPr="00143555" w:rsidRDefault="00B74252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OIB: 46319717480</w:t>
          </w:r>
        </w:p>
        <w:p w:rsidR="00B74252" w:rsidRDefault="00B74252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IBAN: HR6024020061100110092</w:t>
          </w:r>
        </w:p>
        <w:p w:rsidR="00B74252" w:rsidRPr="00143555" w:rsidRDefault="00B74252" w:rsidP="00B74252">
          <w:pPr>
            <w:pStyle w:val="Footer"/>
            <w:jc w:val="right"/>
            <w:rPr>
              <w:rFonts w:ascii="Book Antiqua" w:hAnsi="Book Antiqua"/>
              <w:color w:val="002060"/>
              <w:sz w:val="18"/>
            </w:rPr>
          </w:pPr>
          <w:r w:rsidRPr="00143555">
            <w:rPr>
              <w:rFonts w:ascii="Book Antiqua" w:hAnsi="Book Antiqua"/>
              <w:color w:val="002060"/>
              <w:sz w:val="18"/>
            </w:rPr>
            <w:t>Erste&amp; Steiermärkische bank d.d. Rijeka</w:t>
          </w:r>
        </w:p>
      </w:tc>
    </w:tr>
  </w:tbl>
  <w:p w:rsidR="00B74252" w:rsidRDefault="00B7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06" w:rsidRDefault="00050006" w:rsidP="00AF0DA4">
      <w:pPr>
        <w:spacing w:after="0" w:line="240" w:lineRule="auto"/>
      </w:pPr>
      <w:r>
        <w:separator/>
      </w:r>
    </w:p>
  </w:footnote>
  <w:footnote w:type="continuationSeparator" w:id="0">
    <w:p w:rsidR="00050006" w:rsidRDefault="00050006" w:rsidP="00AF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78" w:rsidRDefault="0085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1086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7078" w:rsidRDefault="008570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66E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57078" w:rsidRDefault="008570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6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B74252" w:rsidRPr="00AF0DA4" w:rsidTr="004522AF">
      <w:tc>
        <w:tcPr>
          <w:tcW w:w="4678" w:type="dxa"/>
        </w:tcPr>
        <w:p w:rsidR="00B74252" w:rsidRDefault="00B74252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noProof/>
              <w:color w:val="1F4E79" w:themeColor="accent5" w:themeShade="80"/>
            </w:rPr>
            <w:drawing>
              <wp:inline distT="0" distB="0" distL="0" distR="0" wp14:anchorId="4FAE2A15" wp14:editId="67913C12">
                <wp:extent cx="466725" cy="619616"/>
                <wp:effectExtent l="0" t="0" r="0" b="9525"/>
                <wp:docPr id="89" name="Picture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147" cy="62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1989" w:rsidRPr="00E41989" w:rsidRDefault="00E41989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B74252" w:rsidRDefault="00B74252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  <w:t>Republika Hrvatska</w:t>
          </w:r>
        </w:p>
        <w:p w:rsidR="00E41989" w:rsidRPr="00E41989" w:rsidRDefault="00E41989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4"/>
              <w:szCs w:val="22"/>
            </w:rPr>
          </w:pPr>
        </w:p>
        <w:p w:rsidR="00B74252" w:rsidRPr="00AF0DA4" w:rsidRDefault="00B74252" w:rsidP="00B74252">
          <w:pPr>
            <w:jc w:val="center"/>
            <w:rPr>
              <w:rFonts w:ascii="Book Antiqua" w:hAnsi="Book Antiqua"/>
              <w:b/>
              <w:color w:val="1F4E79" w:themeColor="accent5" w:themeShade="80"/>
              <w:sz w:val="22"/>
              <w:szCs w:val="22"/>
            </w:rPr>
          </w:pP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Sveučilište u Rijeci</w:t>
          </w:r>
          <w:r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 xml:space="preserve"> –  </w:t>
          </w:r>
          <w:r w:rsidRPr="00AF0DA4">
            <w:rPr>
              <w:rFonts w:ascii="Book Antiqua" w:hAnsi="Book Antiqua"/>
              <w:color w:val="1F4E79" w:themeColor="accent5" w:themeShade="80"/>
              <w:sz w:val="22"/>
              <w:szCs w:val="22"/>
            </w:rPr>
            <w:t>TEHNIČKI FAKULTET</w:t>
          </w:r>
        </w:p>
      </w:tc>
    </w:tr>
  </w:tbl>
  <w:p w:rsidR="00B74252" w:rsidRPr="00E41989" w:rsidRDefault="00B7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FF1"/>
    <w:multiLevelType w:val="hybridMultilevel"/>
    <w:tmpl w:val="8FA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17F7"/>
    <w:multiLevelType w:val="hybridMultilevel"/>
    <w:tmpl w:val="07EEA728"/>
    <w:lvl w:ilvl="0" w:tplc="6ACC796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0B71FFE"/>
    <w:multiLevelType w:val="hybridMultilevel"/>
    <w:tmpl w:val="02D4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53EB8"/>
    <w:multiLevelType w:val="hybridMultilevel"/>
    <w:tmpl w:val="C812F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0555"/>
    <w:multiLevelType w:val="hybridMultilevel"/>
    <w:tmpl w:val="8CBEEABC"/>
    <w:lvl w:ilvl="0" w:tplc="C400E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E"/>
    <w:rsid w:val="0003549D"/>
    <w:rsid w:val="000417DE"/>
    <w:rsid w:val="00050006"/>
    <w:rsid w:val="00054010"/>
    <w:rsid w:val="00054048"/>
    <w:rsid w:val="000E40F4"/>
    <w:rsid w:val="000E66EF"/>
    <w:rsid w:val="001033FF"/>
    <w:rsid w:val="00143555"/>
    <w:rsid w:val="001555FD"/>
    <w:rsid w:val="00196765"/>
    <w:rsid w:val="0027036F"/>
    <w:rsid w:val="00372DE5"/>
    <w:rsid w:val="003D387A"/>
    <w:rsid w:val="003F12AF"/>
    <w:rsid w:val="004168B4"/>
    <w:rsid w:val="0045375F"/>
    <w:rsid w:val="004B75AF"/>
    <w:rsid w:val="004C4300"/>
    <w:rsid w:val="004C4EDB"/>
    <w:rsid w:val="00582F4B"/>
    <w:rsid w:val="00596E5A"/>
    <w:rsid w:val="005B18CE"/>
    <w:rsid w:val="00604313"/>
    <w:rsid w:val="0062383E"/>
    <w:rsid w:val="006B0C45"/>
    <w:rsid w:val="006C54B3"/>
    <w:rsid w:val="006D3576"/>
    <w:rsid w:val="006E4320"/>
    <w:rsid w:val="00740062"/>
    <w:rsid w:val="007A7DAE"/>
    <w:rsid w:val="007E2194"/>
    <w:rsid w:val="00815BA8"/>
    <w:rsid w:val="008527FE"/>
    <w:rsid w:val="00857078"/>
    <w:rsid w:val="00884D4B"/>
    <w:rsid w:val="0088703A"/>
    <w:rsid w:val="00890B90"/>
    <w:rsid w:val="008C58C8"/>
    <w:rsid w:val="008C6150"/>
    <w:rsid w:val="008E31A2"/>
    <w:rsid w:val="008F0B5B"/>
    <w:rsid w:val="0090413C"/>
    <w:rsid w:val="00953D83"/>
    <w:rsid w:val="009606DC"/>
    <w:rsid w:val="00973239"/>
    <w:rsid w:val="00A15501"/>
    <w:rsid w:val="00A47A59"/>
    <w:rsid w:val="00A74439"/>
    <w:rsid w:val="00AE1E94"/>
    <w:rsid w:val="00AF0DA4"/>
    <w:rsid w:val="00AF76C1"/>
    <w:rsid w:val="00B165D8"/>
    <w:rsid w:val="00B378E3"/>
    <w:rsid w:val="00B74252"/>
    <w:rsid w:val="00B8734B"/>
    <w:rsid w:val="00BC65E5"/>
    <w:rsid w:val="00BE48DD"/>
    <w:rsid w:val="00BF55E6"/>
    <w:rsid w:val="00C74FF7"/>
    <w:rsid w:val="00CA397E"/>
    <w:rsid w:val="00CE18FE"/>
    <w:rsid w:val="00D1770B"/>
    <w:rsid w:val="00DD4F77"/>
    <w:rsid w:val="00E14CBB"/>
    <w:rsid w:val="00E36B2B"/>
    <w:rsid w:val="00E41989"/>
    <w:rsid w:val="00E66F07"/>
    <w:rsid w:val="00E9159C"/>
    <w:rsid w:val="00F247F6"/>
    <w:rsid w:val="00F30CCF"/>
    <w:rsid w:val="00F47533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06602"/>
  <w15:chartTrackingRefBased/>
  <w15:docId w15:val="{7DC06EA9-8F3B-4E96-B631-274B026A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DA4"/>
  </w:style>
  <w:style w:type="paragraph" w:styleId="Footer">
    <w:name w:val="footer"/>
    <w:basedOn w:val="Normal"/>
    <w:link w:val="FooterChar"/>
    <w:uiPriority w:val="99"/>
    <w:unhideWhenUsed/>
    <w:rsid w:val="00AF0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A4"/>
  </w:style>
  <w:style w:type="table" w:styleId="TableGrid">
    <w:name w:val="Table Grid"/>
    <w:basedOn w:val="TableNormal"/>
    <w:rsid w:val="00AF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3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33F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E1E9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E94"/>
    <w:rPr>
      <w:rFonts w:ascii="Calibri" w:eastAsia="Calibri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riteh.uniri.hr" TargetMode="External"/><Relationship Id="rId1" Type="http://schemas.openxmlformats.org/officeDocument/2006/relationships/hyperlink" Target="mailto:dekanat@riteh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16D9A-8B6E-4AEA-87F1-E852F34D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4055</Words>
  <Characters>23118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Štajduhar</dc:creator>
  <cp:keywords/>
  <dc:description/>
  <cp:lastModifiedBy>Windows User</cp:lastModifiedBy>
  <cp:revision>59</cp:revision>
  <cp:lastPrinted>2021-12-17T12:57:00Z</cp:lastPrinted>
  <dcterms:created xsi:type="dcterms:W3CDTF">2021-10-27T10:11:00Z</dcterms:created>
  <dcterms:modified xsi:type="dcterms:W3CDTF">2021-12-17T13:23:00Z</dcterms:modified>
</cp:coreProperties>
</file>